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AE" w:rsidRPr="00F6561C" w:rsidRDefault="004E01AE" w:rsidP="007C2AC3">
      <w:pPr>
        <w:spacing w:line="360" w:lineRule="auto"/>
        <w:rPr>
          <w:rFonts w:ascii="Arial" w:hAnsi="Arial" w:cs="Arial"/>
          <w:b/>
          <w:bCs/>
          <w:color w:val="FF0000"/>
          <w:sz w:val="28"/>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F921F0" w:rsidP="004E01AE">
      <w:pPr>
        <w:spacing w:line="360" w:lineRule="auto"/>
        <w:jc w:val="center"/>
        <w:rPr>
          <w:rFonts w:ascii="Arial" w:hAnsi="Arial" w:cs="Arial"/>
        </w:rPr>
      </w:pPr>
      <w:r>
        <w:rPr>
          <w:rFonts w:ascii="Arial" w:hAnsi="Arial" w:cs="Arial"/>
        </w:rPr>
        <w:t xml:space="preserve">UCLA LUSKIN </w:t>
      </w:r>
      <w:r w:rsidR="00494FCD">
        <w:rPr>
          <w:rFonts w:ascii="Arial" w:hAnsi="Arial" w:cs="Arial"/>
        </w:rPr>
        <w:t>SCHOOL</w:t>
      </w:r>
      <w:r>
        <w:rPr>
          <w:rFonts w:ascii="Arial" w:hAnsi="Arial" w:cs="Arial"/>
        </w:rPr>
        <w:t xml:space="preserve"> OF PUBLIC AFFAIRS</w:t>
      </w:r>
    </w:p>
    <w:p w:rsidR="004E01AE" w:rsidRPr="00862489" w:rsidRDefault="004E01AE" w:rsidP="004E01AE">
      <w:pPr>
        <w:spacing w:line="360" w:lineRule="auto"/>
        <w:jc w:val="center"/>
        <w:rPr>
          <w:rFonts w:ascii="Arial" w:hAnsi="Arial" w:cs="Arial"/>
        </w:rPr>
      </w:pPr>
      <w:r w:rsidRPr="00862489">
        <w:rPr>
          <w:rFonts w:ascii="Arial" w:hAnsi="Arial" w:cs="Arial"/>
        </w:rPr>
        <w:t xml:space="preserve"> AUDIT REPORT #</w:t>
      </w:r>
      <w:r w:rsidR="008942A3">
        <w:rPr>
          <w:rFonts w:ascii="Arial" w:hAnsi="Arial" w:cs="Arial"/>
        </w:rPr>
        <w:t>16-5002</w:t>
      </w: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right"/>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p>
    <w:p w:rsidR="004E01AE" w:rsidRPr="00862489" w:rsidRDefault="004E01AE" w:rsidP="004E01AE">
      <w:pPr>
        <w:pStyle w:val="Heading1"/>
        <w:jc w:val="center"/>
        <w:rPr>
          <w:sz w:val="16"/>
          <w:u w:val="none"/>
        </w:rPr>
      </w:pPr>
    </w:p>
    <w:p w:rsidR="004E01AE" w:rsidRPr="00862489" w:rsidRDefault="004E01AE" w:rsidP="004E01AE">
      <w:pPr>
        <w:pStyle w:val="Heading1"/>
        <w:jc w:val="center"/>
        <w:rPr>
          <w:sz w:val="16"/>
          <w:u w:val="none"/>
        </w:rPr>
      </w:pPr>
    </w:p>
    <w:p w:rsidR="004E01AE" w:rsidRPr="00862489" w:rsidRDefault="004E01AE" w:rsidP="004E01AE">
      <w:pPr>
        <w:pStyle w:val="Heading1"/>
        <w:jc w:val="center"/>
        <w:rPr>
          <w:sz w:val="16"/>
          <w:u w:val="none"/>
        </w:rPr>
      </w:pPr>
    </w:p>
    <w:p w:rsidR="004E01AE" w:rsidRPr="00862489" w:rsidRDefault="004E01AE" w:rsidP="004E01AE">
      <w:pPr>
        <w:pStyle w:val="Heading1"/>
        <w:jc w:val="center"/>
        <w:rPr>
          <w:sz w:val="16"/>
          <w:u w:val="none"/>
        </w:rPr>
      </w:pPr>
    </w:p>
    <w:p w:rsidR="004E01AE" w:rsidRPr="005F327D" w:rsidRDefault="004E01AE" w:rsidP="004E01AE">
      <w:pPr>
        <w:pStyle w:val="Heading1"/>
        <w:jc w:val="center"/>
        <w:rPr>
          <w:sz w:val="16"/>
          <w:u w:val="none"/>
        </w:rPr>
      </w:pPr>
    </w:p>
    <w:p w:rsidR="00072B77" w:rsidRDefault="00B53C00" w:rsidP="004878F1">
      <w:pPr>
        <w:jc w:val="center"/>
        <w:rPr>
          <w:rFonts w:ascii="Arial" w:hAnsi="Arial" w:cs="Arial"/>
          <w:sz w:val="16"/>
        </w:rPr>
      </w:pPr>
      <w:r w:rsidRPr="005F327D">
        <w:rPr>
          <w:rFonts w:ascii="Arial" w:hAnsi="Arial" w:cs="Arial"/>
          <w:sz w:val="16"/>
        </w:rPr>
        <w:t>Audit &amp; Advisory Service</w:t>
      </w:r>
      <w:r w:rsidR="00072B77">
        <w:rPr>
          <w:rFonts w:ascii="Arial" w:hAnsi="Arial" w:cs="Arial"/>
          <w:sz w:val="16"/>
        </w:rPr>
        <w:t>s</w:t>
      </w:r>
    </w:p>
    <w:p w:rsidR="00072B77" w:rsidRPr="005F327D" w:rsidRDefault="004F1385" w:rsidP="005F327D">
      <w:pPr>
        <w:jc w:val="center"/>
        <w:rPr>
          <w:rFonts w:ascii="Arial" w:hAnsi="Arial" w:cs="Arial"/>
          <w:sz w:val="16"/>
        </w:rPr>
        <w:sectPr w:rsidR="00072B77" w:rsidRPr="005F327D" w:rsidSect="00FA0F0E">
          <w:headerReference w:type="default" r:id="rId9"/>
          <w:footerReference w:type="default" r:id="rId10"/>
          <w:pgSz w:w="12240" w:h="15840"/>
          <w:pgMar w:top="1440" w:right="1440" w:bottom="1080" w:left="1440" w:header="720" w:footer="720" w:gutter="0"/>
          <w:cols w:space="720"/>
          <w:titlePg/>
          <w:docGrid w:linePitch="326"/>
        </w:sectPr>
      </w:pPr>
      <w:r>
        <w:rPr>
          <w:rFonts w:ascii="Arial" w:hAnsi="Arial" w:cs="Arial"/>
          <w:sz w:val="16"/>
        </w:rPr>
        <w:t>August</w:t>
      </w:r>
      <w:r w:rsidR="00072B77">
        <w:rPr>
          <w:rFonts w:ascii="Arial" w:hAnsi="Arial" w:cs="Arial"/>
          <w:sz w:val="16"/>
        </w:rPr>
        <w:t xml:space="preserve"> 2016</w:t>
      </w:r>
    </w:p>
    <w:p w:rsidR="00F921F0" w:rsidRPr="00862489" w:rsidRDefault="00F921F0" w:rsidP="00F921F0">
      <w:pPr>
        <w:spacing w:line="360" w:lineRule="auto"/>
        <w:jc w:val="center"/>
        <w:rPr>
          <w:rFonts w:ascii="Arial" w:hAnsi="Arial" w:cs="Arial"/>
        </w:rPr>
      </w:pPr>
      <w:r>
        <w:rPr>
          <w:rFonts w:ascii="Arial" w:hAnsi="Arial" w:cs="Arial"/>
        </w:rPr>
        <w:lastRenderedPageBreak/>
        <w:t xml:space="preserve">UCLA LUSKIN </w:t>
      </w:r>
      <w:r w:rsidR="00494FCD">
        <w:rPr>
          <w:rFonts w:ascii="Arial" w:hAnsi="Arial" w:cs="Arial"/>
        </w:rPr>
        <w:t>SCHOOL</w:t>
      </w:r>
      <w:r>
        <w:rPr>
          <w:rFonts w:ascii="Arial" w:hAnsi="Arial" w:cs="Arial"/>
        </w:rPr>
        <w:t xml:space="preserve"> OF PUBLIC AFFAIRS</w:t>
      </w:r>
    </w:p>
    <w:p w:rsidR="004E01AE" w:rsidRPr="00862489" w:rsidRDefault="00116A6A" w:rsidP="004E01AE">
      <w:pPr>
        <w:spacing w:line="360" w:lineRule="auto"/>
        <w:jc w:val="center"/>
        <w:rPr>
          <w:rFonts w:ascii="Arial" w:hAnsi="Arial" w:cs="Arial"/>
        </w:rPr>
      </w:pPr>
      <w:r>
        <w:rPr>
          <w:rFonts w:ascii="Arial" w:hAnsi="Arial" w:cs="Arial"/>
        </w:rPr>
        <w:t xml:space="preserve"> AUDIT REPORT #16-5002</w:t>
      </w:r>
    </w:p>
    <w:p w:rsidR="004E01AE" w:rsidRPr="00862489" w:rsidRDefault="004E01AE" w:rsidP="004E01AE">
      <w:pPr>
        <w:pStyle w:val="Heading1"/>
        <w:jc w:val="both"/>
      </w:pPr>
    </w:p>
    <w:p w:rsidR="004E01AE" w:rsidRPr="005F327D" w:rsidRDefault="004E01AE" w:rsidP="00211748">
      <w:pPr>
        <w:rPr>
          <w:rFonts w:ascii="Arial" w:hAnsi="Arial" w:cs="Arial"/>
          <w:u w:val="single"/>
        </w:rPr>
      </w:pPr>
      <w:r w:rsidRPr="005F327D">
        <w:rPr>
          <w:rFonts w:ascii="Arial" w:hAnsi="Arial" w:cs="Arial"/>
          <w:u w:val="single"/>
        </w:rPr>
        <w:t>Background</w:t>
      </w: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rPr>
      </w:pPr>
      <w:r w:rsidRPr="00862489">
        <w:rPr>
          <w:rFonts w:ascii="Arial" w:hAnsi="Arial" w:cs="Arial"/>
        </w:rPr>
        <w:t xml:space="preserve">In accordance with the </w:t>
      </w:r>
      <w:r w:rsidR="00272463">
        <w:rPr>
          <w:rFonts w:ascii="Arial" w:hAnsi="Arial" w:cs="Arial"/>
        </w:rPr>
        <w:t>Campus</w:t>
      </w:r>
      <w:r w:rsidRPr="00862489">
        <w:rPr>
          <w:rFonts w:ascii="Arial" w:hAnsi="Arial" w:cs="Arial"/>
        </w:rPr>
        <w:t xml:space="preserve"> fiscal year 2015-16 audit plan, Audit &amp; Advisory Services (A&amp;AS) conducted an audit of </w:t>
      </w:r>
      <w:r w:rsidR="00272463">
        <w:rPr>
          <w:rFonts w:ascii="Arial" w:hAnsi="Arial" w:cs="Arial"/>
        </w:rPr>
        <w:t xml:space="preserve">the </w:t>
      </w:r>
      <w:r w:rsidR="007E6FC1">
        <w:rPr>
          <w:rFonts w:ascii="Arial" w:hAnsi="Arial" w:cs="Arial"/>
        </w:rPr>
        <w:t xml:space="preserve">UCLA Luskin </w:t>
      </w:r>
      <w:r w:rsidR="00494FCD">
        <w:rPr>
          <w:rFonts w:ascii="Arial" w:hAnsi="Arial" w:cs="Arial"/>
        </w:rPr>
        <w:t>School</w:t>
      </w:r>
      <w:r w:rsidR="007E6FC1">
        <w:rPr>
          <w:rFonts w:ascii="Arial" w:hAnsi="Arial" w:cs="Arial"/>
        </w:rPr>
        <w:t xml:space="preserve"> of Public Aff</w:t>
      </w:r>
      <w:r w:rsidR="00AF40FD">
        <w:rPr>
          <w:rFonts w:ascii="Arial" w:hAnsi="Arial" w:cs="Arial"/>
        </w:rPr>
        <w:t>airs.</w:t>
      </w:r>
    </w:p>
    <w:p w:rsidR="004E01AE" w:rsidRPr="00862489" w:rsidRDefault="004E01AE" w:rsidP="004E01AE">
      <w:pPr>
        <w:spacing w:line="360" w:lineRule="auto"/>
        <w:jc w:val="both"/>
        <w:rPr>
          <w:rFonts w:cs="Arial"/>
        </w:rPr>
      </w:pPr>
    </w:p>
    <w:p w:rsidR="004E01AE" w:rsidRDefault="00302CE8" w:rsidP="004E01AE">
      <w:pPr>
        <w:spacing w:line="360" w:lineRule="auto"/>
        <w:jc w:val="both"/>
        <w:rPr>
          <w:rFonts w:ascii="Arial" w:hAnsi="Arial" w:cs="Arial"/>
        </w:rPr>
      </w:pPr>
      <w:r>
        <w:rPr>
          <w:rFonts w:ascii="Arial" w:hAnsi="Arial" w:cs="Arial"/>
        </w:rPr>
        <w:t xml:space="preserve">The UCLA Luskin </w:t>
      </w:r>
      <w:r w:rsidR="00494FCD">
        <w:rPr>
          <w:rFonts w:ascii="Arial" w:hAnsi="Arial" w:cs="Arial"/>
        </w:rPr>
        <w:t>School</w:t>
      </w:r>
      <w:r>
        <w:rPr>
          <w:rFonts w:ascii="Arial" w:hAnsi="Arial" w:cs="Arial"/>
        </w:rPr>
        <w:t xml:space="preserve"> of Public Affairs was established in 1994 and dedicated in 2011.</w:t>
      </w:r>
      <w:r w:rsidR="00C37766">
        <w:rPr>
          <w:rFonts w:ascii="Arial" w:hAnsi="Arial" w:cs="Arial"/>
        </w:rPr>
        <w:t xml:space="preserve">  </w:t>
      </w:r>
      <w:r w:rsidR="004239A7">
        <w:rPr>
          <w:rFonts w:ascii="Arial" w:hAnsi="Arial" w:cs="Arial"/>
        </w:rPr>
        <w:t xml:space="preserve">The </w:t>
      </w:r>
      <w:r w:rsidR="00494FCD">
        <w:rPr>
          <w:rFonts w:ascii="Arial" w:hAnsi="Arial" w:cs="Arial"/>
        </w:rPr>
        <w:t>School</w:t>
      </w:r>
      <w:r>
        <w:rPr>
          <w:rFonts w:ascii="Arial" w:hAnsi="Arial" w:cs="Arial"/>
        </w:rPr>
        <w:t xml:space="preserve"> incorporates best practices in graduate scholarship, research</w:t>
      </w:r>
      <w:r w:rsidR="00E27DBA">
        <w:rPr>
          <w:rFonts w:ascii="Arial" w:hAnsi="Arial" w:cs="Arial"/>
        </w:rPr>
        <w:t>,</w:t>
      </w:r>
      <w:r>
        <w:rPr>
          <w:rFonts w:ascii="Arial" w:hAnsi="Arial" w:cs="Arial"/>
        </w:rPr>
        <w:t xml:space="preserve"> and teaching in the fields of public policy, social welfare, and urban planning.</w:t>
      </w:r>
      <w:r w:rsidR="003439FA">
        <w:rPr>
          <w:rFonts w:ascii="Arial" w:hAnsi="Arial" w:cs="Arial"/>
        </w:rPr>
        <w:t xml:space="preserve">  </w:t>
      </w:r>
      <w:r>
        <w:rPr>
          <w:rFonts w:ascii="Arial" w:hAnsi="Arial" w:cs="Arial"/>
        </w:rPr>
        <w:t xml:space="preserve">In March 2011, the </w:t>
      </w:r>
      <w:r w:rsidR="00494FCD">
        <w:rPr>
          <w:rFonts w:ascii="Arial" w:hAnsi="Arial" w:cs="Arial"/>
        </w:rPr>
        <w:t>School</w:t>
      </w:r>
      <w:r>
        <w:rPr>
          <w:rFonts w:ascii="Arial" w:hAnsi="Arial" w:cs="Arial"/>
        </w:rPr>
        <w:t xml:space="preserve"> was name</w:t>
      </w:r>
      <w:r w:rsidR="00E27DBA">
        <w:rPr>
          <w:rFonts w:ascii="Arial" w:hAnsi="Arial" w:cs="Arial"/>
        </w:rPr>
        <w:t>d for Meyer and Renee Luskin,</w:t>
      </w:r>
      <w:r>
        <w:rPr>
          <w:rFonts w:ascii="Arial" w:hAnsi="Arial" w:cs="Arial"/>
        </w:rPr>
        <w:t xml:space="preserve"> UCLA alumni and philanthropists</w:t>
      </w:r>
      <w:r w:rsidR="00E27DBA">
        <w:rPr>
          <w:rFonts w:ascii="Arial" w:hAnsi="Arial" w:cs="Arial"/>
        </w:rPr>
        <w:t>,</w:t>
      </w:r>
      <w:r>
        <w:rPr>
          <w:rFonts w:ascii="Arial" w:hAnsi="Arial" w:cs="Arial"/>
        </w:rPr>
        <w:t xml:space="preserve"> whose $100 million </w:t>
      </w:r>
      <w:r w:rsidR="003439FA">
        <w:rPr>
          <w:rFonts w:ascii="Arial" w:hAnsi="Arial" w:cs="Arial"/>
        </w:rPr>
        <w:t>investment</w:t>
      </w:r>
      <w:r>
        <w:rPr>
          <w:rFonts w:ascii="Arial" w:hAnsi="Arial" w:cs="Arial"/>
        </w:rPr>
        <w:t xml:space="preserve"> to UCLA includes funds for endowments in the </w:t>
      </w:r>
      <w:r w:rsidR="00494FCD">
        <w:rPr>
          <w:rFonts w:ascii="Arial" w:hAnsi="Arial" w:cs="Arial"/>
        </w:rPr>
        <w:t>School</w:t>
      </w:r>
      <w:r>
        <w:rPr>
          <w:rFonts w:ascii="Arial" w:hAnsi="Arial" w:cs="Arial"/>
        </w:rPr>
        <w:t xml:space="preserve"> to strengthen academic opportunities, faculty research, and public outreach and civic engagement.</w:t>
      </w:r>
      <w:r w:rsidR="00C37766">
        <w:rPr>
          <w:rFonts w:ascii="Arial" w:hAnsi="Arial" w:cs="Arial"/>
        </w:rPr>
        <w:t xml:space="preserve">  The </w:t>
      </w:r>
      <w:r w:rsidR="00494FCD">
        <w:rPr>
          <w:rFonts w:ascii="Arial" w:hAnsi="Arial" w:cs="Arial"/>
        </w:rPr>
        <w:t>School</w:t>
      </w:r>
      <w:r w:rsidR="00C37766">
        <w:rPr>
          <w:rFonts w:ascii="Arial" w:hAnsi="Arial" w:cs="Arial"/>
        </w:rPr>
        <w:t xml:space="preserve"> identifies and develops emerging areas of research and teaching and cultivates leaders and change agents who advance solutions to society’s most pressing problems.</w:t>
      </w:r>
    </w:p>
    <w:p w:rsidR="000747E9" w:rsidRDefault="000747E9" w:rsidP="004E01AE">
      <w:pPr>
        <w:spacing w:line="360" w:lineRule="auto"/>
        <w:jc w:val="both"/>
        <w:rPr>
          <w:rFonts w:ascii="Arial" w:hAnsi="Arial" w:cs="Arial"/>
        </w:rPr>
      </w:pPr>
    </w:p>
    <w:p w:rsidR="00A41CDF" w:rsidRDefault="0033313D" w:rsidP="00A41CDF">
      <w:pPr>
        <w:spacing w:line="360" w:lineRule="auto"/>
        <w:jc w:val="both"/>
        <w:rPr>
          <w:rFonts w:ascii="Arial" w:hAnsi="Arial" w:cs="Arial"/>
        </w:rPr>
      </w:pPr>
      <w:r>
        <w:rPr>
          <w:rFonts w:ascii="Arial" w:hAnsi="Arial" w:cs="Arial"/>
        </w:rPr>
        <w:t xml:space="preserve">The </w:t>
      </w:r>
      <w:r w:rsidR="00494FCD">
        <w:rPr>
          <w:rFonts w:ascii="Arial" w:hAnsi="Arial" w:cs="Arial"/>
        </w:rPr>
        <w:t>School</w:t>
      </w:r>
      <w:r>
        <w:rPr>
          <w:rFonts w:ascii="Arial" w:hAnsi="Arial" w:cs="Arial"/>
        </w:rPr>
        <w:t xml:space="preserve"> has</w:t>
      </w:r>
      <w:r w:rsidR="00B1142C">
        <w:rPr>
          <w:rFonts w:ascii="Arial" w:hAnsi="Arial" w:cs="Arial"/>
        </w:rPr>
        <w:t xml:space="preserve"> over 90 faculty and</w:t>
      </w:r>
      <w:r w:rsidR="00A41CDF">
        <w:rPr>
          <w:rFonts w:ascii="Arial" w:hAnsi="Arial" w:cs="Arial"/>
        </w:rPr>
        <w:t xml:space="preserve"> 550 students, including </w:t>
      </w:r>
      <w:r w:rsidR="00272463">
        <w:rPr>
          <w:rFonts w:ascii="Arial" w:hAnsi="Arial" w:cs="Arial"/>
        </w:rPr>
        <w:t>approximately</w:t>
      </w:r>
      <w:r w:rsidR="00A41CDF">
        <w:rPr>
          <w:rFonts w:ascii="Arial" w:hAnsi="Arial" w:cs="Arial"/>
        </w:rPr>
        <w:t xml:space="preserve"> 80 doctoral students.  </w:t>
      </w:r>
      <w:r w:rsidR="00A41CDF" w:rsidRPr="00A41CDF">
        <w:rPr>
          <w:rFonts w:ascii="Arial" w:hAnsi="Arial" w:cs="Arial"/>
        </w:rPr>
        <w:t xml:space="preserve">There is one centralized Dean’s Office, </w:t>
      </w:r>
      <w:r w:rsidR="00A41CDF">
        <w:rPr>
          <w:rFonts w:ascii="Arial" w:hAnsi="Arial" w:cs="Arial"/>
        </w:rPr>
        <w:t xml:space="preserve">along with </w:t>
      </w:r>
      <w:r w:rsidR="00A41CDF" w:rsidRPr="00A41CDF">
        <w:rPr>
          <w:rFonts w:ascii="Arial" w:hAnsi="Arial" w:cs="Arial"/>
        </w:rPr>
        <w:t xml:space="preserve">three major departments and </w:t>
      </w:r>
      <w:r w:rsidR="003959AA">
        <w:rPr>
          <w:rFonts w:ascii="Arial" w:hAnsi="Arial" w:cs="Arial"/>
        </w:rPr>
        <w:t xml:space="preserve">various </w:t>
      </w:r>
      <w:r w:rsidR="00EE418B">
        <w:rPr>
          <w:rFonts w:ascii="Arial" w:hAnsi="Arial" w:cs="Arial"/>
        </w:rPr>
        <w:t>centers</w:t>
      </w:r>
      <w:r w:rsidR="00A32E1E">
        <w:rPr>
          <w:rFonts w:ascii="Arial" w:hAnsi="Arial" w:cs="Arial"/>
        </w:rPr>
        <w:t xml:space="preserve"> and institutes</w:t>
      </w:r>
      <w:r w:rsidR="00EE418B">
        <w:rPr>
          <w:rFonts w:ascii="Arial" w:hAnsi="Arial" w:cs="Arial"/>
        </w:rPr>
        <w:t xml:space="preserve">.  </w:t>
      </w:r>
      <w:r w:rsidR="00A41CDF">
        <w:rPr>
          <w:rFonts w:ascii="Arial" w:hAnsi="Arial" w:cs="Arial"/>
        </w:rPr>
        <w:t>Personnel include</w:t>
      </w:r>
      <w:r w:rsidR="00A41CDF" w:rsidRPr="00A41CDF">
        <w:rPr>
          <w:rFonts w:ascii="Arial" w:hAnsi="Arial" w:cs="Arial"/>
        </w:rPr>
        <w:t xml:space="preserve"> </w:t>
      </w:r>
      <w:r w:rsidR="00EE418B">
        <w:rPr>
          <w:rFonts w:ascii="Arial" w:hAnsi="Arial" w:cs="Arial"/>
        </w:rPr>
        <w:t>faculty</w:t>
      </w:r>
      <w:r w:rsidR="00BB7459">
        <w:rPr>
          <w:rFonts w:ascii="Arial" w:hAnsi="Arial" w:cs="Arial"/>
        </w:rPr>
        <w:t>,</w:t>
      </w:r>
      <w:r w:rsidR="00EE418B">
        <w:rPr>
          <w:rFonts w:ascii="Arial" w:hAnsi="Arial" w:cs="Arial"/>
        </w:rPr>
        <w:t xml:space="preserve"> directors, </w:t>
      </w:r>
      <w:r w:rsidR="00A41CDF" w:rsidRPr="00A41CDF">
        <w:rPr>
          <w:rFonts w:ascii="Arial" w:hAnsi="Arial" w:cs="Arial"/>
        </w:rPr>
        <w:t>research fellows, academic a</w:t>
      </w:r>
      <w:r w:rsidR="00EE418B">
        <w:rPr>
          <w:rFonts w:ascii="Arial" w:hAnsi="Arial" w:cs="Arial"/>
        </w:rPr>
        <w:t xml:space="preserve">ppointments, </w:t>
      </w:r>
      <w:r w:rsidR="00A41CDF" w:rsidRPr="00A41CDF">
        <w:rPr>
          <w:rFonts w:ascii="Arial" w:hAnsi="Arial" w:cs="Arial"/>
        </w:rPr>
        <w:t>lecturers</w:t>
      </w:r>
      <w:r w:rsidR="00EE418B">
        <w:rPr>
          <w:rFonts w:ascii="Arial" w:hAnsi="Arial" w:cs="Arial"/>
        </w:rPr>
        <w:t>, and administrative staff</w:t>
      </w:r>
      <w:r w:rsidR="00A41CDF" w:rsidRPr="00A41CDF">
        <w:rPr>
          <w:rFonts w:ascii="Arial" w:hAnsi="Arial" w:cs="Arial"/>
        </w:rPr>
        <w:t xml:space="preserve">.  </w:t>
      </w:r>
      <w:r w:rsidR="00F84160">
        <w:rPr>
          <w:rFonts w:ascii="Arial" w:hAnsi="Arial" w:cs="Arial"/>
        </w:rPr>
        <w:t xml:space="preserve">For </w:t>
      </w:r>
      <w:r w:rsidR="00AF2E43">
        <w:rPr>
          <w:rFonts w:ascii="Arial" w:hAnsi="Arial" w:cs="Arial"/>
        </w:rPr>
        <w:t>fiscal year</w:t>
      </w:r>
      <w:r w:rsidR="00F84160">
        <w:rPr>
          <w:rFonts w:ascii="Arial" w:hAnsi="Arial" w:cs="Arial"/>
        </w:rPr>
        <w:t xml:space="preserve"> 2014-15, total revenue </w:t>
      </w:r>
      <w:r w:rsidR="00251D29">
        <w:rPr>
          <w:rFonts w:ascii="Arial" w:hAnsi="Arial" w:cs="Arial"/>
        </w:rPr>
        <w:t xml:space="preserve">was approximately $32 million, </w:t>
      </w:r>
      <w:r w:rsidR="00F84160">
        <w:rPr>
          <w:rFonts w:ascii="Arial" w:hAnsi="Arial" w:cs="Arial"/>
        </w:rPr>
        <w:t>and expenditures were</w:t>
      </w:r>
      <w:r w:rsidR="00251D29">
        <w:rPr>
          <w:rFonts w:ascii="Arial" w:hAnsi="Arial" w:cs="Arial"/>
        </w:rPr>
        <w:t xml:space="preserve"> similarly $32 million</w:t>
      </w:r>
      <w:r w:rsidR="00F84160">
        <w:rPr>
          <w:rFonts w:ascii="Arial" w:hAnsi="Arial" w:cs="Arial"/>
        </w:rPr>
        <w:t>.  The</w:t>
      </w:r>
      <w:r w:rsidR="00251D29">
        <w:rPr>
          <w:rFonts w:ascii="Arial" w:hAnsi="Arial" w:cs="Arial"/>
        </w:rPr>
        <w:t>re was a</w:t>
      </w:r>
      <w:r w:rsidR="00F84160">
        <w:rPr>
          <w:rFonts w:ascii="Arial" w:hAnsi="Arial" w:cs="Arial"/>
        </w:rPr>
        <w:t xml:space="preserve"> $21 million ending balance</w:t>
      </w:r>
      <w:r w:rsidR="00251D29">
        <w:rPr>
          <w:rFonts w:ascii="Arial" w:hAnsi="Arial" w:cs="Arial"/>
        </w:rPr>
        <w:t xml:space="preserve">, </w:t>
      </w:r>
      <w:r w:rsidR="004D1F04">
        <w:rPr>
          <w:rFonts w:ascii="Arial" w:hAnsi="Arial" w:cs="Arial"/>
        </w:rPr>
        <w:t>which included</w:t>
      </w:r>
      <w:r w:rsidR="00F84160">
        <w:rPr>
          <w:rFonts w:ascii="Arial" w:hAnsi="Arial" w:cs="Arial"/>
        </w:rPr>
        <w:t xml:space="preserve"> the carryforward from the prior year.</w:t>
      </w:r>
    </w:p>
    <w:p w:rsidR="003959AA" w:rsidRDefault="003959AA" w:rsidP="00A41CDF">
      <w:pPr>
        <w:spacing w:line="360" w:lineRule="auto"/>
        <w:jc w:val="both"/>
        <w:rPr>
          <w:rFonts w:ascii="Arial" w:hAnsi="Arial" w:cs="Arial"/>
        </w:rPr>
      </w:pPr>
    </w:p>
    <w:p w:rsidR="006B6FB8" w:rsidRPr="00866B8B" w:rsidRDefault="00DD264D" w:rsidP="00A41CDF">
      <w:pPr>
        <w:spacing w:line="360" w:lineRule="auto"/>
        <w:jc w:val="both"/>
        <w:rPr>
          <w:rFonts w:ascii="Arial" w:hAnsi="Arial" w:cs="Arial"/>
        </w:rPr>
      </w:pPr>
      <w:r>
        <w:rPr>
          <w:rFonts w:ascii="Arial" w:hAnsi="Arial" w:cs="Arial"/>
        </w:rPr>
        <w:t xml:space="preserve">The Interim Dean, </w:t>
      </w:r>
      <w:r w:rsidR="00E27DBA">
        <w:rPr>
          <w:rFonts w:ascii="Arial" w:hAnsi="Arial" w:cs="Arial"/>
        </w:rPr>
        <w:t xml:space="preserve">a </w:t>
      </w:r>
      <w:r>
        <w:rPr>
          <w:rFonts w:ascii="Arial" w:hAnsi="Arial" w:cs="Arial"/>
        </w:rPr>
        <w:t xml:space="preserve">Professor of Urban Planning </w:t>
      </w:r>
      <w:r w:rsidR="00E27DBA">
        <w:rPr>
          <w:rFonts w:ascii="Arial" w:hAnsi="Arial" w:cs="Arial"/>
        </w:rPr>
        <w:t xml:space="preserve">and Asian American Studies, </w:t>
      </w:r>
      <w:r>
        <w:rPr>
          <w:rFonts w:ascii="Arial" w:hAnsi="Arial" w:cs="Arial"/>
        </w:rPr>
        <w:t xml:space="preserve">oversees the </w:t>
      </w:r>
      <w:r w:rsidR="00494FCD">
        <w:rPr>
          <w:rFonts w:ascii="Arial" w:hAnsi="Arial" w:cs="Arial"/>
        </w:rPr>
        <w:t>School</w:t>
      </w:r>
      <w:r>
        <w:rPr>
          <w:rFonts w:ascii="Arial" w:hAnsi="Arial" w:cs="Arial"/>
        </w:rPr>
        <w:t xml:space="preserve">, </w:t>
      </w:r>
      <w:r w:rsidR="00E27DBA">
        <w:rPr>
          <w:rFonts w:ascii="Arial" w:hAnsi="Arial" w:cs="Arial"/>
        </w:rPr>
        <w:t xml:space="preserve">and </w:t>
      </w:r>
      <w:r>
        <w:rPr>
          <w:rFonts w:ascii="Arial" w:hAnsi="Arial" w:cs="Arial"/>
        </w:rPr>
        <w:t xml:space="preserve">was appointed in July 2015.  </w:t>
      </w:r>
      <w:r w:rsidR="003959AA">
        <w:rPr>
          <w:rFonts w:ascii="Arial" w:hAnsi="Arial" w:cs="Arial"/>
        </w:rPr>
        <w:t xml:space="preserve">The </w:t>
      </w:r>
      <w:r w:rsidR="00E27DBA">
        <w:rPr>
          <w:rFonts w:ascii="Arial" w:hAnsi="Arial" w:cs="Arial"/>
        </w:rPr>
        <w:t xml:space="preserve">Assistant Dean for Administration serves as the </w:t>
      </w:r>
      <w:r w:rsidR="003959AA">
        <w:rPr>
          <w:rFonts w:ascii="Arial" w:hAnsi="Arial" w:cs="Arial"/>
        </w:rPr>
        <w:t>Chief Administrative Officer</w:t>
      </w:r>
      <w:r w:rsidR="003959AA" w:rsidRPr="003959AA">
        <w:rPr>
          <w:rFonts w:ascii="Arial" w:hAnsi="Arial" w:cs="Arial"/>
        </w:rPr>
        <w:t xml:space="preserve"> </w:t>
      </w:r>
      <w:r w:rsidR="003959AA">
        <w:rPr>
          <w:rFonts w:ascii="Arial" w:hAnsi="Arial" w:cs="Arial"/>
        </w:rPr>
        <w:t xml:space="preserve">(CAO) </w:t>
      </w:r>
      <w:r w:rsidR="00E27DBA">
        <w:rPr>
          <w:rFonts w:ascii="Arial" w:hAnsi="Arial" w:cs="Arial"/>
        </w:rPr>
        <w:t xml:space="preserve">and </w:t>
      </w:r>
      <w:r w:rsidR="003959AA" w:rsidRPr="003959AA">
        <w:rPr>
          <w:rFonts w:ascii="Arial" w:hAnsi="Arial" w:cs="Arial"/>
        </w:rPr>
        <w:t>oversee</w:t>
      </w:r>
      <w:r w:rsidR="0033313D">
        <w:rPr>
          <w:rFonts w:ascii="Arial" w:hAnsi="Arial" w:cs="Arial"/>
        </w:rPr>
        <w:t>s</w:t>
      </w:r>
      <w:r w:rsidR="003959AA" w:rsidRPr="003959AA">
        <w:rPr>
          <w:rFonts w:ascii="Arial" w:hAnsi="Arial" w:cs="Arial"/>
        </w:rPr>
        <w:t xml:space="preserve"> </w:t>
      </w:r>
      <w:r w:rsidR="00D04BB8">
        <w:rPr>
          <w:rFonts w:ascii="Arial" w:hAnsi="Arial" w:cs="Arial"/>
        </w:rPr>
        <w:t xml:space="preserve">the </w:t>
      </w:r>
      <w:r w:rsidR="00494FCD">
        <w:rPr>
          <w:rFonts w:ascii="Arial" w:hAnsi="Arial" w:cs="Arial"/>
        </w:rPr>
        <w:t>School</w:t>
      </w:r>
      <w:r w:rsidR="00D04BB8">
        <w:rPr>
          <w:rFonts w:ascii="Arial" w:hAnsi="Arial" w:cs="Arial"/>
        </w:rPr>
        <w:t xml:space="preserve">’s </w:t>
      </w:r>
      <w:r w:rsidR="00E27DBA">
        <w:rPr>
          <w:rFonts w:ascii="Arial" w:hAnsi="Arial" w:cs="Arial"/>
        </w:rPr>
        <w:t>various administrative and financial areas, human r</w:t>
      </w:r>
      <w:r w:rsidR="003959AA">
        <w:rPr>
          <w:rFonts w:ascii="Arial" w:hAnsi="Arial" w:cs="Arial"/>
        </w:rPr>
        <w:t>esources</w:t>
      </w:r>
      <w:r w:rsidR="003959AA" w:rsidRPr="003959AA">
        <w:rPr>
          <w:rFonts w:ascii="Arial" w:hAnsi="Arial" w:cs="Arial"/>
        </w:rPr>
        <w:t xml:space="preserve"> for staff</w:t>
      </w:r>
      <w:r w:rsidR="00E86C44">
        <w:rPr>
          <w:rFonts w:ascii="Arial" w:hAnsi="Arial" w:cs="Arial"/>
        </w:rPr>
        <w:t xml:space="preserve"> and faculty, </w:t>
      </w:r>
      <w:r w:rsidR="003959AA" w:rsidRPr="003959AA">
        <w:rPr>
          <w:rFonts w:ascii="Arial" w:hAnsi="Arial" w:cs="Arial"/>
        </w:rPr>
        <w:t>operations, facilities, events, and finance.</w:t>
      </w:r>
      <w:r w:rsidR="003959AA">
        <w:rPr>
          <w:rFonts w:ascii="Arial" w:hAnsi="Arial" w:cs="Arial"/>
        </w:rPr>
        <w:t xml:space="preserve">  </w:t>
      </w:r>
      <w:r w:rsidR="006B6FB8">
        <w:rPr>
          <w:rFonts w:ascii="Arial" w:hAnsi="Arial" w:cs="Arial"/>
        </w:rPr>
        <w:t xml:space="preserve">The </w:t>
      </w:r>
      <w:r w:rsidR="00F129C9">
        <w:rPr>
          <w:rFonts w:ascii="Arial" w:hAnsi="Arial" w:cs="Arial"/>
        </w:rPr>
        <w:t>Chief Financial Officer (CFO)</w:t>
      </w:r>
      <w:r w:rsidR="006B6FB8" w:rsidRPr="006B6FB8">
        <w:rPr>
          <w:rFonts w:ascii="Arial" w:hAnsi="Arial" w:cs="Arial"/>
        </w:rPr>
        <w:t xml:space="preserve"> </w:t>
      </w:r>
      <w:r w:rsidR="003959AA">
        <w:rPr>
          <w:rFonts w:ascii="Arial" w:hAnsi="Arial" w:cs="Arial"/>
        </w:rPr>
        <w:lastRenderedPageBreak/>
        <w:t xml:space="preserve">oversees the </w:t>
      </w:r>
      <w:r w:rsidR="00494FCD">
        <w:rPr>
          <w:rFonts w:ascii="Arial" w:hAnsi="Arial" w:cs="Arial"/>
        </w:rPr>
        <w:t>School</w:t>
      </w:r>
      <w:r w:rsidR="003959AA">
        <w:rPr>
          <w:rFonts w:ascii="Arial" w:hAnsi="Arial" w:cs="Arial"/>
        </w:rPr>
        <w:t xml:space="preserve">’s financial activity, and reports to the CAO.  </w:t>
      </w:r>
      <w:r w:rsidR="0051316D">
        <w:rPr>
          <w:rFonts w:ascii="Arial" w:hAnsi="Arial" w:cs="Arial"/>
        </w:rPr>
        <w:t xml:space="preserve">The Dean’s office employs approximately </w:t>
      </w:r>
      <w:r w:rsidR="009C3686">
        <w:rPr>
          <w:rFonts w:ascii="Arial" w:hAnsi="Arial" w:cs="Arial"/>
        </w:rPr>
        <w:t xml:space="preserve">25 </w:t>
      </w:r>
      <w:r w:rsidR="0051316D">
        <w:rPr>
          <w:rFonts w:ascii="Arial" w:hAnsi="Arial" w:cs="Arial"/>
        </w:rPr>
        <w:t>staff.</w:t>
      </w:r>
    </w:p>
    <w:p w:rsidR="00A41CDF" w:rsidRDefault="00A41CDF" w:rsidP="004E01AE">
      <w:pPr>
        <w:spacing w:line="360" w:lineRule="auto"/>
        <w:jc w:val="both"/>
        <w:rPr>
          <w:rFonts w:ascii="Arial" w:hAnsi="Arial" w:cs="Arial"/>
        </w:rPr>
      </w:pPr>
    </w:p>
    <w:p w:rsidR="000747E9" w:rsidRDefault="006B6FB8" w:rsidP="004E01AE">
      <w:pPr>
        <w:spacing w:line="360" w:lineRule="auto"/>
        <w:jc w:val="both"/>
        <w:rPr>
          <w:rFonts w:ascii="Arial" w:hAnsi="Arial" w:cs="Arial"/>
          <w:i/>
        </w:rPr>
      </w:pPr>
      <w:r>
        <w:rPr>
          <w:rFonts w:ascii="Arial" w:hAnsi="Arial" w:cs="Arial"/>
          <w:i/>
        </w:rPr>
        <w:t xml:space="preserve">Major </w:t>
      </w:r>
      <w:r w:rsidR="003439FA" w:rsidRPr="00DC2575">
        <w:rPr>
          <w:rFonts w:ascii="Arial" w:hAnsi="Arial" w:cs="Arial"/>
          <w:i/>
        </w:rPr>
        <w:t>Departments</w:t>
      </w:r>
    </w:p>
    <w:p w:rsidR="00272463" w:rsidRPr="00DC2575" w:rsidRDefault="00272463" w:rsidP="004E01AE">
      <w:pPr>
        <w:spacing w:line="360" w:lineRule="auto"/>
        <w:jc w:val="both"/>
        <w:rPr>
          <w:rFonts w:ascii="Arial" w:hAnsi="Arial" w:cs="Arial"/>
          <w:i/>
        </w:rPr>
      </w:pPr>
    </w:p>
    <w:p w:rsidR="003439FA" w:rsidRPr="00DC2575" w:rsidRDefault="003439FA" w:rsidP="004D1F04">
      <w:pPr>
        <w:pStyle w:val="ListParagraph"/>
        <w:numPr>
          <w:ilvl w:val="0"/>
          <w:numId w:val="8"/>
        </w:numPr>
        <w:spacing w:line="360" w:lineRule="auto"/>
        <w:ind w:left="540" w:hanging="540"/>
        <w:jc w:val="both"/>
        <w:rPr>
          <w:rFonts w:ascii="Arial" w:hAnsi="Arial" w:cs="Arial"/>
        </w:rPr>
      </w:pPr>
      <w:r w:rsidRPr="00C479A5">
        <w:rPr>
          <w:rFonts w:ascii="Arial" w:hAnsi="Arial" w:cs="Arial"/>
          <w:u w:val="single"/>
        </w:rPr>
        <w:t>Social Welfare</w:t>
      </w:r>
      <w:r w:rsidRPr="00DC2575">
        <w:rPr>
          <w:rFonts w:ascii="Arial" w:hAnsi="Arial" w:cs="Arial"/>
        </w:rPr>
        <w:t xml:space="preserve"> – Founded in 1974,  </w:t>
      </w:r>
      <w:r w:rsidR="00DC2575">
        <w:rPr>
          <w:rFonts w:ascii="Arial" w:hAnsi="Arial" w:cs="Arial"/>
        </w:rPr>
        <w:t>this department guides policy makers and shapes practice and programs in areas including welfare, aging, healthcare, mental health, children and families, and long-term support, with an emphasis on empowering the disadvantaged and the vulnerable.</w:t>
      </w:r>
    </w:p>
    <w:p w:rsidR="003439FA" w:rsidRDefault="003439FA" w:rsidP="004E01AE">
      <w:pPr>
        <w:spacing w:line="360" w:lineRule="auto"/>
        <w:jc w:val="both"/>
        <w:rPr>
          <w:rFonts w:ascii="Arial" w:hAnsi="Arial" w:cs="Arial"/>
        </w:rPr>
      </w:pPr>
    </w:p>
    <w:p w:rsidR="003439FA" w:rsidRDefault="003439FA" w:rsidP="004D1F04">
      <w:pPr>
        <w:pStyle w:val="ListParagraph"/>
        <w:numPr>
          <w:ilvl w:val="0"/>
          <w:numId w:val="8"/>
        </w:numPr>
        <w:spacing w:line="360" w:lineRule="auto"/>
        <w:ind w:left="540" w:hanging="540"/>
        <w:jc w:val="both"/>
        <w:rPr>
          <w:rFonts w:ascii="Arial" w:hAnsi="Arial" w:cs="Arial"/>
        </w:rPr>
      </w:pPr>
      <w:r w:rsidRPr="00C479A5">
        <w:rPr>
          <w:rFonts w:ascii="Arial" w:hAnsi="Arial" w:cs="Arial"/>
          <w:u w:val="single"/>
        </w:rPr>
        <w:t>Public Policy</w:t>
      </w:r>
      <w:r w:rsidRPr="00DC2575">
        <w:rPr>
          <w:rFonts w:ascii="Arial" w:hAnsi="Arial" w:cs="Arial"/>
        </w:rPr>
        <w:t xml:space="preserve"> – Founded in 19</w:t>
      </w:r>
      <w:r w:rsidR="00DB5375">
        <w:rPr>
          <w:rFonts w:ascii="Arial" w:hAnsi="Arial" w:cs="Arial"/>
        </w:rPr>
        <w:t>94</w:t>
      </w:r>
      <w:r w:rsidRPr="00DC2575">
        <w:rPr>
          <w:rFonts w:ascii="Arial" w:hAnsi="Arial" w:cs="Arial"/>
        </w:rPr>
        <w:t>, this department conducts research directed to public issues, educates public policy professionals, and partners with</w:t>
      </w:r>
      <w:r w:rsidR="00C479A5">
        <w:rPr>
          <w:rFonts w:ascii="Arial" w:hAnsi="Arial" w:cs="Arial"/>
        </w:rPr>
        <w:t xml:space="preserve"> public servants and</w:t>
      </w:r>
      <w:r w:rsidRPr="00DC2575">
        <w:rPr>
          <w:rFonts w:ascii="Arial" w:hAnsi="Arial" w:cs="Arial"/>
        </w:rPr>
        <w:t xml:space="preserve"> the community to dissem</w:t>
      </w:r>
      <w:r w:rsidR="00C479A5">
        <w:rPr>
          <w:rFonts w:ascii="Arial" w:hAnsi="Arial" w:cs="Arial"/>
        </w:rPr>
        <w:t xml:space="preserve">inate and apply new and existing knowledge for solving public </w:t>
      </w:r>
      <w:r w:rsidR="004050AC">
        <w:rPr>
          <w:rFonts w:ascii="Arial" w:hAnsi="Arial" w:cs="Arial"/>
        </w:rPr>
        <w:t>problems.</w:t>
      </w:r>
    </w:p>
    <w:p w:rsidR="004050AC" w:rsidRPr="004050AC" w:rsidRDefault="004050AC" w:rsidP="004050AC">
      <w:pPr>
        <w:pStyle w:val="ListParagraph"/>
        <w:rPr>
          <w:rFonts w:ascii="Arial" w:hAnsi="Arial" w:cs="Arial"/>
        </w:rPr>
      </w:pPr>
    </w:p>
    <w:p w:rsidR="004050AC" w:rsidRPr="00DC2575" w:rsidRDefault="00D65401" w:rsidP="004D1F04">
      <w:pPr>
        <w:pStyle w:val="ListParagraph"/>
        <w:numPr>
          <w:ilvl w:val="0"/>
          <w:numId w:val="8"/>
        </w:numPr>
        <w:spacing w:line="360" w:lineRule="auto"/>
        <w:ind w:left="540" w:hanging="540"/>
        <w:jc w:val="both"/>
        <w:rPr>
          <w:rFonts w:ascii="Arial" w:hAnsi="Arial" w:cs="Arial"/>
        </w:rPr>
      </w:pPr>
      <w:r w:rsidRPr="00D65401">
        <w:rPr>
          <w:rFonts w:ascii="Arial" w:hAnsi="Arial" w:cs="Arial"/>
          <w:u w:val="single"/>
        </w:rPr>
        <w:t>Urban Planning</w:t>
      </w:r>
      <w:r>
        <w:rPr>
          <w:rFonts w:ascii="Arial" w:hAnsi="Arial" w:cs="Arial"/>
        </w:rPr>
        <w:t xml:space="preserve"> – Founded in 19</w:t>
      </w:r>
      <w:r w:rsidR="00E8427D">
        <w:rPr>
          <w:rFonts w:ascii="Arial" w:hAnsi="Arial" w:cs="Arial"/>
        </w:rPr>
        <w:t>69</w:t>
      </w:r>
      <w:r>
        <w:rPr>
          <w:rFonts w:ascii="Arial" w:hAnsi="Arial" w:cs="Arial"/>
        </w:rPr>
        <w:t xml:space="preserve">, </w:t>
      </w:r>
      <w:r w:rsidR="00C37766">
        <w:rPr>
          <w:rFonts w:ascii="Arial" w:hAnsi="Arial" w:cs="Arial"/>
        </w:rPr>
        <w:t>this department researches and helps to solve urban issues and problems, particularly in Los Angeles.  Master’s and doctoral degree students are prepared by this department to address the social, economic, and spatial relationships that shape society.</w:t>
      </w:r>
    </w:p>
    <w:p w:rsidR="00A41CDF" w:rsidRDefault="00A41CDF" w:rsidP="004E01AE">
      <w:pPr>
        <w:spacing w:line="360" w:lineRule="auto"/>
        <w:jc w:val="both"/>
        <w:rPr>
          <w:rFonts w:ascii="Arial" w:hAnsi="Arial" w:cs="Arial"/>
          <w:u w:val="single"/>
        </w:rPr>
      </w:pPr>
    </w:p>
    <w:p w:rsidR="006B6FB8" w:rsidRPr="006B6FB8" w:rsidRDefault="006B6FB8" w:rsidP="006B6FB8">
      <w:pPr>
        <w:spacing w:line="360" w:lineRule="auto"/>
        <w:jc w:val="both"/>
        <w:rPr>
          <w:rFonts w:ascii="Arial" w:hAnsi="Arial" w:cs="Arial"/>
        </w:rPr>
      </w:pPr>
      <w:r>
        <w:rPr>
          <w:rFonts w:ascii="Arial" w:hAnsi="Arial" w:cs="Arial"/>
        </w:rPr>
        <w:t>Centers and institutes</w:t>
      </w:r>
      <w:r w:rsidR="00A41CDF" w:rsidRPr="00A41CDF">
        <w:rPr>
          <w:rFonts w:ascii="Arial" w:hAnsi="Arial" w:cs="Arial"/>
        </w:rPr>
        <w:t xml:space="preserve"> are specialized in </w:t>
      </w:r>
      <w:r>
        <w:rPr>
          <w:rFonts w:ascii="Arial" w:hAnsi="Arial" w:cs="Arial"/>
        </w:rPr>
        <w:t xml:space="preserve">their respective </w:t>
      </w:r>
      <w:r w:rsidR="00A41CDF" w:rsidRPr="00A41CDF">
        <w:rPr>
          <w:rFonts w:ascii="Arial" w:hAnsi="Arial" w:cs="Arial"/>
        </w:rPr>
        <w:t>research areas</w:t>
      </w:r>
      <w:r>
        <w:rPr>
          <w:rFonts w:ascii="Arial" w:hAnsi="Arial" w:cs="Arial"/>
        </w:rPr>
        <w:t xml:space="preserve">, and include the </w:t>
      </w:r>
      <w:r w:rsidRPr="006B6FB8">
        <w:rPr>
          <w:rFonts w:ascii="Arial" w:hAnsi="Arial" w:cs="Arial"/>
        </w:rPr>
        <w:t>Lus</w:t>
      </w:r>
      <w:r>
        <w:rPr>
          <w:rFonts w:ascii="Arial" w:hAnsi="Arial" w:cs="Arial"/>
        </w:rPr>
        <w:t xml:space="preserve">kin Center for Innovation, the </w:t>
      </w:r>
      <w:r w:rsidRPr="006B6FB8">
        <w:rPr>
          <w:rFonts w:ascii="Arial" w:hAnsi="Arial" w:cs="Arial"/>
        </w:rPr>
        <w:t>Center fo</w:t>
      </w:r>
      <w:r>
        <w:rPr>
          <w:rFonts w:ascii="Arial" w:hAnsi="Arial" w:cs="Arial"/>
        </w:rPr>
        <w:t xml:space="preserve">r Community Partnerships, the </w:t>
      </w:r>
      <w:r w:rsidRPr="006B6FB8">
        <w:rPr>
          <w:rFonts w:ascii="Arial" w:hAnsi="Arial" w:cs="Arial"/>
        </w:rPr>
        <w:t>Lewis Cen</w:t>
      </w:r>
      <w:r>
        <w:rPr>
          <w:rFonts w:ascii="Arial" w:hAnsi="Arial" w:cs="Arial"/>
        </w:rPr>
        <w:t xml:space="preserve">ter for Regional Policy Studies, the </w:t>
      </w:r>
      <w:r w:rsidRPr="006B6FB8">
        <w:rPr>
          <w:rFonts w:ascii="Arial" w:hAnsi="Arial" w:cs="Arial"/>
        </w:rPr>
        <w:t>Institute of Transportation Studies</w:t>
      </w:r>
      <w:r>
        <w:rPr>
          <w:rFonts w:ascii="Arial" w:hAnsi="Arial" w:cs="Arial"/>
        </w:rPr>
        <w:t xml:space="preserve">, and the </w:t>
      </w:r>
      <w:r w:rsidRPr="006B6FB8">
        <w:rPr>
          <w:rFonts w:ascii="Arial" w:hAnsi="Arial" w:cs="Arial"/>
        </w:rPr>
        <w:t>Institute on Inequality and Democracy.</w:t>
      </w:r>
    </w:p>
    <w:p w:rsidR="006B6FB8" w:rsidRDefault="006B6FB8" w:rsidP="004E01AE">
      <w:pPr>
        <w:spacing w:line="360" w:lineRule="auto"/>
        <w:jc w:val="both"/>
        <w:rPr>
          <w:rFonts w:ascii="Arial" w:hAnsi="Arial" w:cs="Arial"/>
          <w:u w:val="single"/>
        </w:rPr>
      </w:pPr>
    </w:p>
    <w:p w:rsidR="004E01AE" w:rsidRPr="00862489" w:rsidRDefault="004E01AE" w:rsidP="004E01AE">
      <w:pPr>
        <w:spacing w:line="360" w:lineRule="auto"/>
        <w:jc w:val="both"/>
        <w:rPr>
          <w:rFonts w:ascii="Arial" w:hAnsi="Arial" w:cs="Arial"/>
          <w:u w:val="single"/>
        </w:rPr>
      </w:pPr>
      <w:r w:rsidRPr="00862489">
        <w:rPr>
          <w:rFonts w:ascii="Arial" w:hAnsi="Arial" w:cs="Arial"/>
          <w:u w:val="single"/>
        </w:rPr>
        <w:t>Purpose and Scope</w:t>
      </w:r>
    </w:p>
    <w:p w:rsidR="004E01AE" w:rsidRPr="00862489" w:rsidRDefault="004E01AE" w:rsidP="004E01AE">
      <w:pPr>
        <w:spacing w:line="360" w:lineRule="auto"/>
        <w:jc w:val="both"/>
        <w:rPr>
          <w:rFonts w:ascii="Arial" w:hAnsi="Arial" w:cs="Arial"/>
          <w:u w:val="single"/>
        </w:rPr>
      </w:pPr>
    </w:p>
    <w:p w:rsidR="00AF2E43" w:rsidRPr="00862489" w:rsidRDefault="004E01AE" w:rsidP="0037670C">
      <w:pPr>
        <w:pStyle w:val="BodyText"/>
      </w:pPr>
      <w:r w:rsidRPr="00862489">
        <w:t xml:space="preserve">The purpose of the audit was to </w:t>
      </w:r>
      <w:r w:rsidR="00467518">
        <w:t xml:space="preserve">ensure that there are adequate internal controls over the UCLA Luskin </w:t>
      </w:r>
      <w:r w:rsidR="00494FCD">
        <w:t>School</w:t>
      </w:r>
      <w:r w:rsidR="00467518">
        <w:t xml:space="preserve"> of Public Affairs administrative and financial activities</w:t>
      </w:r>
      <w:r w:rsidRPr="00862489">
        <w:t>.  Where applicable, compliance with University policies and procedures was also evaluated.</w:t>
      </w:r>
      <w:r w:rsidR="000A1C56">
        <w:t xml:space="preserve">  </w:t>
      </w:r>
      <w:r w:rsidR="00467518">
        <w:t xml:space="preserve">The audit’s scope </w:t>
      </w:r>
      <w:r w:rsidRPr="00862489">
        <w:t>focused on the following activities:</w:t>
      </w:r>
    </w:p>
    <w:p w:rsidR="00467518" w:rsidRDefault="00467518" w:rsidP="00AF2E43">
      <w:pPr>
        <w:pStyle w:val="ListParagraph"/>
        <w:numPr>
          <w:ilvl w:val="0"/>
          <w:numId w:val="5"/>
        </w:numPr>
        <w:spacing w:line="360" w:lineRule="auto"/>
        <w:ind w:left="540" w:hanging="540"/>
        <w:jc w:val="both"/>
        <w:rPr>
          <w:rFonts w:ascii="Arial" w:hAnsi="Arial"/>
        </w:rPr>
      </w:pPr>
      <w:r w:rsidRPr="00467518">
        <w:rPr>
          <w:rFonts w:ascii="Arial" w:hAnsi="Arial"/>
        </w:rPr>
        <w:t>Financial Management</w:t>
      </w:r>
    </w:p>
    <w:p w:rsidR="00467518" w:rsidRDefault="00467518" w:rsidP="00AF2E43">
      <w:pPr>
        <w:pStyle w:val="ListParagraph"/>
        <w:numPr>
          <w:ilvl w:val="0"/>
          <w:numId w:val="5"/>
        </w:numPr>
        <w:spacing w:line="360" w:lineRule="auto"/>
        <w:ind w:left="540" w:hanging="540"/>
        <w:jc w:val="both"/>
        <w:rPr>
          <w:rFonts w:ascii="Arial" w:hAnsi="Arial"/>
        </w:rPr>
      </w:pPr>
      <w:r w:rsidRPr="00467518">
        <w:rPr>
          <w:rFonts w:ascii="Arial" w:hAnsi="Arial"/>
        </w:rPr>
        <w:t>Conflict of Interest</w:t>
      </w:r>
    </w:p>
    <w:p w:rsidR="00467518" w:rsidRDefault="00467518" w:rsidP="00AF2E43">
      <w:pPr>
        <w:pStyle w:val="ListParagraph"/>
        <w:numPr>
          <w:ilvl w:val="0"/>
          <w:numId w:val="5"/>
        </w:numPr>
        <w:spacing w:line="360" w:lineRule="auto"/>
        <w:ind w:left="540" w:hanging="540"/>
        <w:jc w:val="both"/>
        <w:rPr>
          <w:rFonts w:ascii="Arial" w:hAnsi="Arial"/>
        </w:rPr>
      </w:pPr>
      <w:r w:rsidRPr="00467518">
        <w:rPr>
          <w:rFonts w:ascii="Arial" w:hAnsi="Arial"/>
        </w:rPr>
        <w:t>Information Systems</w:t>
      </w:r>
    </w:p>
    <w:p w:rsidR="00467518" w:rsidRDefault="00467518" w:rsidP="00AF2E43">
      <w:pPr>
        <w:pStyle w:val="ListParagraph"/>
        <w:numPr>
          <w:ilvl w:val="0"/>
          <w:numId w:val="5"/>
        </w:numPr>
        <w:spacing w:line="360" w:lineRule="auto"/>
        <w:ind w:left="540" w:hanging="540"/>
        <w:jc w:val="both"/>
        <w:rPr>
          <w:rFonts w:ascii="Arial" w:hAnsi="Arial"/>
        </w:rPr>
      </w:pPr>
      <w:r w:rsidRPr="00467518">
        <w:rPr>
          <w:rFonts w:ascii="Arial" w:hAnsi="Arial"/>
        </w:rPr>
        <w:t>Gift Funds and Endowments</w:t>
      </w:r>
    </w:p>
    <w:p w:rsidR="004E01AE" w:rsidRDefault="00C94A9A" w:rsidP="00AF2E43">
      <w:pPr>
        <w:pStyle w:val="ListParagraph"/>
        <w:numPr>
          <w:ilvl w:val="0"/>
          <w:numId w:val="5"/>
        </w:numPr>
        <w:spacing w:line="360" w:lineRule="auto"/>
        <w:ind w:left="540" w:hanging="540"/>
        <w:jc w:val="both"/>
        <w:rPr>
          <w:rFonts w:ascii="Arial" w:hAnsi="Arial"/>
        </w:rPr>
      </w:pPr>
      <w:r>
        <w:rPr>
          <w:rFonts w:ascii="Arial" w:hAnsi="Arial"/>
        </w:rPr>
        <w:t>Faculty Hiring and Diversity</w:t>
      </w:r>
    </w:p>
    <w:p w:rsidR="001C7CC1" w:rsidRDefault="001C7CC1" w:rsidP="00AF2E43">
      <w:pPr>
        <w:pStyle w:val="ListParagraph"/>
        <w:numPr>
          <w:ilvl w:val="0"/>
          <w:numId w:val="5"/>
        </w:numPr>
        <w:spacing w:line="360" w:lineRule="auto"/>
        <w:ind w:left="540" w:hanging="540"/>
        <w:jc w:val="both"/>
        <w:rPr>
          <w:rFonts w:ascii="Arial" w:hAnsi="Arial"/>
        </w:rPr>
      </w:pPr>
      <w:r w:rsidRPr="00467518">
        <w:rPr>
          <w:rFonts w:ascii="Arial" w:hAnsi="Arial"/>
        </w:rPr>
        <w:t>Budget and Planning Processes</w:t>
      </w:r>
    </w:p>
    <w:p w:rsidR="00C94A9A" w:rsidRPr="00467518" w:rsidRDefault="00C94A9A" w:rsidP="00C94A9A">
      <w:pPr>
        <w:pStyle w:val="ListParagraph"/>
        <w:spacing w:line="360" w:lineRule="auto"/>
        <w:ind w:left="360"/>
        <w:jc w:val="both"/>
        <w:rPr>
          <w:rFonts w:ascii="Arial" w:hAnsi="Arial"/>
        </w:rPr>
      </w:pPr>
    </w:p>
    <w:p w:rsidR="004E01AE" w:rsidRPr="00EB725F" w:rsidRDefault="004E01AE" w:rsidP="004E01AE">
      <w:pPr>
        <w:spacing w:line="360" w:lineRule="auto"/>
        <w:jc w:val="both"/>
        <w:rPr>
          <w:rFonts w:ascii="Arial" w:hAnsi="Arial" w:cs="Arial"/>
        </w:rPr>
      </w:pPr>
      <w:r w:rsidRPr="00EB725F">
        <w:rPr>
          <w:rFonts w:ascii="Arial" w:hAnsi="Arial" w:cs="Arial"/>
        </w:rPr>
        <w:t xml:space="preserve">The </w:t>
      </w:r>
      <w:r>
        <w:rPr>
          <w:rFonts w:ascii="Arial" w:hAnsi="Arial" w:cs="Arial"/>
        </w:rPr>
        <w:t>audit</w:t>
      </w:r>
      <w:r w:rsidRPr="00EB725F">
        <w:rPr>
          <w:rFonts w:ascii="Arial" w:hAnsi="Arial" w:cs="Arial"/>
        </w:rPr>
        <w:t xml:space="preserve"> was conducted in conformance with </w:t>
      </w:r>
      <w:r w:rsidRPr="00EB725F">
        <w:rPr>
          <w:rFonts w:ascii="Arial" w:hAnsi="Arial" w:cs="Arial"/>
          <w:i/>
        </w:rPr>
        <w:t xml:space="preserve">the International Standards for the Professional Practice of Internal Auditing </w:t>
      </w:r>
      <w:r w:rsidRPr="00EB725F">
        <w:rPr>
          <w:rFonts w:ascii="Arial" w:hAnsi="Arial" w:cs="Arial"/>
        </w:rPr>
        <w:t>and included tests of records, interviews, and other procedures considered necessary to achieve the audit purpose.</w:t>
      </w:r>
      <w:r>
        <w:rPr>
          <w:rFonts w:ascii="Arial" w:hAnsi="Arial" w:cs="Arial"/>
        </w:rPr>
        <w:t xml:space="preserve">  </w:t>
      </w:r>
      <w:r w:rsidRPr="00727146">
        <w:rPr>
          <w:rFonts w:ascii="Arial" w:hAnsi="Arial" w:cs="Arial"/>
        </w:rPr>
        <w:t xml:space="preserve">Interviews were conducted with </w:t>
      </w:r>
      <w:r>
        <w:rPr>
          <w:rFonts w:ascii="Arial" w:hAnsi="Arial" w:cs="Arial"/>
        </w:rPr>
        <w:t>Luskin</w:t>
      </w:r>
      <w:r w:rsidRPr="00727146">
        <w:rPr>
          <w:rFonts w:ascii="Arial" w:hAnsi="Arial" w:cs="Arial"/>
        </w:rPr>
        <w:t xml:space="preserve"> </w:t>
      </w:r>
      <w:r w:rsidR="00F07281">
        <w:rPr>
          <w:rFonts w:ascii="Arial" w:hAnsi="Arial" w:cs="Arial"/>
        </w:rPr>
        <w:t xml:space="preserve">and campus </w:t>
      </w:r>
      <w:r w:rsidRPr="00727146">
        <w:rPr>
          <w:rFonts w:ascii="Arial" w:hAnsi="Arial" w:cs="Arial"/>
        </w:rPr>
        <w:t>management and staff, and supporting documentation was also examined.</w:t>
      </w:r>
    </w:p>
    <w:p w:rsidR="004E01AE" w:rsidRPr="00862489" w:rsidRDefault="004E01AE" w:rsidP="004E01AE">
      <w:pPr>
        <w:spacing w:line="360" w:lineRule="auto"/>
        <w:jc w:val="both"/>
        <w:rPr>
          <w:rFonts w:ascii="Arial" w:hAnsi="Arial" w:cs="Arial"/>
        </w:rPr>
      </w:pPr>
    </w:p>
    <w:p w:rsidR="004E01AE" w:rsidRPr="00862489" w:rsidRDefault="004E01AE" w:rsidP="004E01AE">
      <w:pPr>
        <w:spacing w:line="360" w:lineRule="auto"/>
        <w:jc w:val="both"/>
        <w:rPr>
          <w:rFonts w:ascii="Arial" w:hAnsi="Arial" w:cs="Arial"/>
          <w:u w:val="single"/>
        </w:rPr>
      </w:pPr>
      <w:r w:rsidRPr="00862489">
        <w:rPr>
          <w:rFonts w:ascii="Arial" w:hAnsi="Arial" w:cs="Arial"/>
          <w:u w:val="single"/>
        </w:rPr>
        <w:t>Summary Opinion</w:t>
      </w:r>
    </w:p>
    <w:p w:rsidR="004E01AE" w:rsidRPr="00312114" w:rsidRDefault="004E01AE" w:rsidP="004E01AE">
      <w:pPr>
        <w:pStyle w:val="BodyText"/>
      </w:pPr>
    </w:p>
    <w:p w:rsidR="004E01AE" w:rsidRPr="00312114" w:rsidRDefault="004E01AE" w:rsidP="004E01AE">
      <w:pPr>
        <w:pStyle w:val="BodyText"/>
      </w:pPr>
      <w:r w:rsidRPr="00312114">
        <w:t xml:space="preserve">Based on the results of the work performed within the scope of the audit, the Luskin </w:t>
      </w:r>
      <w:r w:rsidR="00494FCD">
        <w:t>School</w:t>
      </w:r>
      <w:r w:rsidR="00272463">
        <w:t xml:space="preserve"> of Public Affairs staff has established effective systems of internal controls and business practices to ensure the financial and administrative objectives of the </w:t>
      </w:r>
      <w:r w:rsidR="00494FCD">
        <w:t>School</w:t>
      </w:r>
      <w:r w:rsidR="00272463">
        <w:t xml:space="preserve"> are met.  In addition, the </w:t>
      </w:r>
      <w:r w:rsidR="00494FCD">
        <w:t>School</w:t>
      </w:r>
      <w:r w:rsidR="00272463">
        <w:t xml:space="preserve">’s administrative staff appear to be experienced and knowledgeable of the University’s </w:t>
      </w:r>
      <w:r w:rsidR="00F2019B">
        <w:t>policies and</w:t>
      </w:r>
      <w:r w:rsidR="00272463">
        <w:t xml:space="preserve"> procedures.</w:t>
      </w:r>
      <w:r w:rsidRPr="00312114">
        <w:t xml:space="preserve"> </w:t>
      </w:r>
      <w:r w:rsidR="00580C88">
        <w:t xml:space="preserve"> </w:t>
      </w:r>
      <w:r w:rsidR="00272463">
        <w:t xml:space="preserve">Our review did find additional areas where internal controls could be further strengthened.  The following were noted: </w:t>
      </w:r>
    </w:p>
    <w:p w:rsidR="00E23737" w:rsidRDefault="00E23737" w:rsidP="004E01AE">
      <w:pPr>
        <w:pStyle w:val="BodyText"/>
      </w:pPr>
    </w:p>
    <w:p w:rsidR="00B544D2" w:rsidRDefault="00B544D2" w:rsidP="0037670C">
      <w:pPr>
        <w:pStyle w:val="BodyText"/>
        <w:rPr>
          <w:i/>
        </w:rPr>
      </w:pPr>
      <w:r w:rsidRPr="00B544D2">
        <w:rPr>
          <w:i/>
        </w:rPr>
        <w:t>Financial Management</w:t>
      </w:r>
    </w:p>
    <w:p w:rsidR="0037670C" w:rsidRDefault="0037670C" w:rsidP="0037670C">
      <w:pPr>
        <w:pStyle w:val="BodyText"/>
        <w:rPr>
          <w:i/>
        </w:rPr>
      </w:pPr>
    </w:p>
    <w:p w:rsidR="000A0F2B" w:rsidRPr="000A0F2B" w:rsidRDefault="00013655" w:rsidP="0037670C">
      <w:pPr>
        <w:pStyle w:val="BodyText"/>
        <w:numPr>
          <w:ilvl w:val="0"/>
          <w:numId w:val="35"/>
        </w:numPr>
        <w:ind w:left="540" w:hanging="540"/>
        <w:rPr>
          <w:rFonts w:cs="Arial"/>
        </w:rPr>
      </w:pPr>
      <w:r>
        <w:t>T</w:t>
      </w:r>
      <w:r w:rsidR="00CA5759" w:rsidRPr="00CA5759">
        <w:t>o help ensure that the proper terms and cond</w:t>
      </w:r>
      <w:r w:rsidR="0037670C">
        <w:t xml:space="preserve">itions are applied to purchases and </w:t>
      </w:r>
      <w:r w:rsidR="00CA5759" w:rsidRPr="00CA5759">
        <w:t xml:space="preserve">vendors, management should </w:t>
      </w:r>
      <w:r w:rsidR="004759A3">
        <w:t>regularly send out reminders</w:t>
      </w:r>
      <w:r w:rsidR="00CA5759" w:rsidRPr="00CA5759">
        <w:t xml:space="preserve"> that consulting and/or professional services should be processed on a Requisition for Purchase Order</w:t>
      </w:r>
      <w:r w:rsidR="00E27DBA">
        <w:t xml:space="preserve"> or Independent Consultant Agreement, when applicable</w:t>
      </w:r>
      <w:r w:rsidR="00CA5759" w:rsidRPr="00CA5759">
        <w:t xml:space="preserve">.  </w:t>
      </w:r>
      <w:r>
        <w:t>Low Value Orders (</w:t>
      </w:r>
      <w:r w:rsidR="00CA5759" w:rsidRPr="00CA5759">
        <w:t>LVOs</w:t>
      </w:r>
      <w:r>
        <w:t>)</w:t>
      </w:r>
      <w:r w:rsidR="00CA5759" w:rsidRPr="00CA5759">
        <w:t xml:space="preserve"> should not be used in these instances.  Campus Purchasing should be consulted for any questionable items.  Also, management should consider spot checking LVOs on a periodic</w:t>
      </w:r>
      <w:r>
        <w:t xml:space="preserve"> </w:t>
      </w:r>
      <w:r w:rsidR="00CA5759" w:rsidRPr="00CA5759">
        <w:t xml:space="preserve">basis to determine whether areas are using LVOs </w:t>
      </w:r>
      <w:r>
        <w:t xml:space="preserve">in compliance with University </w:t>
      </w:r>
      <w:r w:rsidR="00F2019B">
        <w:t xml:space="preserve">policies </w:t>
      </w:r>
      <w:r>
        <w:t>and procedures</w:t>
      </w:r>
      <w:r w:rsidR="00CA5759" w:rsidRPr="00CA5759">
        <w:t xml:space="preserve">, and whether additional training </w:t>
      </w:r>
      <w:r>
        <w:t>in</w:t>
      </w:r>
      <w:r w:rsidR="00CA5759" w:rsidRPr="00CA5759">
        <w:t xml:space="preserve"> those areas is warranted.</w:t>
      </w:r>
    </w:p>
    <w:p w:rsidR="00580C88" w:rsidRDefault="00580C88" w:rsidP="00580C88">
      <w:pPr>
        <w:spacing w:line="360" w:lineRule="auto"/>
        <w:jc w:val="both"/>
        <w:rPr>
          <w:rFonts w:ascii="Arial" w:hAnsi="Arial"/>
        </w:rPr>
      </w:pPr>
    </w:p>
    <w:p w:rsidR="00DD26E5" w:rsidRPr="0037670C" w:rsidRDefault="00DD26E5" w:rsidP="0037670C">
      <w:pPr>
        <w:pStyle w:val="ListParagraph"/>
        <w:numPr>
          <w:ilvl w:val="0"/>
          <w:numId w:val="35"/>
        </w:numPr>
        <w:spacing w:line="360" w:lineRule="auto"/>
        <w:ind w:left="540" w:hanging="540"/>
        <w:jc w:val="both"/>
        <w:rPr>
          <w:rFonts w:ascii="Arial" w:hAnsi="Arial"/>
        </w:rPr>
      </w:pPr>
      <w:r w:rsidRPr="0037670C">
        <w:rPr>
          <w:rFonts w:ascii="Arial" w:hAnsi="Arial"/>
        </w:rPr>
        <w:t xml:space="preserve">Management should provide regular </w:t>
      </w:r>
      <w:r w:rsidRPr="00AF2E43">
        <w:rPr>
          <w:rFonts w:ascii="Arial" w:hAnsi="Arial"/>
        </w:rPr>
        <w:t>communication</w:t>
      </w:r>
      <w:r w:rsidRPr="0037670C">
        <w:rPr>
          <w:rFonts w:ascii="Arial" w:hAnsi="Arial"/>
        </w:rPr>
        <w:t xml:space="preserve"> to </w:t>
      </w:r>
      <w:r w:rsidR="00AF6547">
        <w:rPr>
          <w:rFonts w:ascii="Arial" w:hAnsi="Arial"/>
        </w:rPr>
        <w:t>units</w:t>
      </w:r>
      <w:r w:rsidRPr="0037670C">
        <w:rPr>
          <w:rFonts w:ascii="Arial" w:hAnsi="Arial"/>
        </w:rPr>
        <w:t>, to create orders in BruinBuy at the time of commitment and prior to the event taking place or the service being completed, using an estimate or quote from the vendor.  Also, management should consider performing periodic spot checks for purchase transactions, to ensure that orders are created at the time of commitment.  Providing ongoing communication and additional training as needed will protect the University</w:t>
      </w:r>
      <w:r w:rsidR="00013655">
        <w:rPr>
          <w:rFonts w:ascii="Arial" w:hAnsi="Arial"/>
        </w:rPr>
        <w:t xml:space="preserve"> by ensuring</w:t>
      </w:r>
      <w:r w:rsidRPr="0037670C">
        <w:rPr>
          <w:rFonts w:ascii="Arial" w:hAnsi="Arial"/>
        </w:rPr>
        <w:t xml:space="preserve"> that the proper terms and conditions are in place, help to ensure more timely payments to vendors, and provide more accurate budgeting data.</w:t>
      </w:r>
    </w:p>
    <w:p w:rsidR="00297454" w:rsidRPr="007B1862" w:rsidRDefault="00297454" w:rsidP="0037670C">
      <w:pPr>
        <w:pStyle w:val="BodyText"/>
        <w:ind w:left="540"/>
        <w:rPr>
          <w:rFonts w:cs="Arial"/>
        </w:rPr>
      </w:pPr>
    </w:p>
    <w:p w:rsidR="00297454" w:rsidRDefault="00297454" w:rsidP="0037670C">
      <w:pPr>
        <w:pStyle w:val="BodyText"/>
        <w:numPr>
          <w:ilvl w:val="0"/>
          <w:numId w:val="23"/>
        </w:numPr>
        <w:ind w:left="540" w:hanging="540"/>
      </w:pPr>
      <w:r w:rsidRPr="0015136D">
        <w:t>Management should consider revising the mandatory review structure for transactions that have more than two mandatory reviewers.  This would include potentially reducing the number of mandatory reviewers, shifting these responsibilities to other individuals</w:t>
      </w:r>
      <w:r w:rsidR="00AF2E43">
        <w:t xml:space="preserve"> </w:t>
      </w:r>
      <w:r w:rsidRPr="0015136D">
        <w:t xml:space="preserve">for certain types of </w:t>
      </w:r>
      <w:r w:rsidRPr="00CE5BDB">
        <w:t>transactions</w:t>
      </w:r>
      <w:r w:rsidR="00AF6547">
        <w:t>, or changing a mandatory</w:t>
      </w:r>
      <w:r w:rsidR="00CC1412">
        <w:t xml:space="preserve"> reviewer’s status</w:t>
      </w:r>
      <w:r w:rsidR="00AF6547">
        <w:t xml:space="preserve"> to </w:t>
      </w:r>
      <w:r w:rsidR="00CC1412">
        <w:t xml:space="preserve">become </w:t>
      </w:r>
      <w:r w:rsidR="00AF6547">
        <w:t xml:space="preserve">a non-mandatory </w:t>
      </w:r>
      <w:r w:rsidR="00CC1412">
        <w:t>reviewer instead.</w:t>
      </w:r>
    </w:p>
    <w:p w:rsidR="00D57CE7" w:rsidRDefault="00D57CE7" w:rsidP="0037670C">
      <w:pPr>
        <w:pStyle w:val="BodyText"/>
        <w:ind w:left="540"/>
        <w:rPr>
          <w:rFonts w:cs="Arial"/>
        </w:rPr>
      </w:pPr>
    </w:p>
    <w:p w:rsidR="00B544D2" w:rsidRDefault="00B544D2" w:rsidP="0037670C">
      <w:pPr>
        <w:spacing w:line="360" w:lineRule="auto"/>
        <w:jc w:val="both"/>
        <w:rPr>
          <w:rFonts w:ascii="Arial" w:hAnsi="Arial" w:cs="Arial"/>
          <w:i/>
        </w:rPr>
      </w:pPr>
      <w:r w:rsidRPr="00B544D2">
        <w:rPr>
          <w:rFonts w:ascii="Arial" w:hAnsi="Arial" w:cs="Arial"/>
          <w:i/>
        </w:rPr>
        <w:t>Conflict of Interest</w:t>
      </w:r>
    </w:p>
    <w:p w:rsidR="00272463" w:rsidRPr="00B544D2" w:rsidRDefault="00272463" w:rsidP="0037670C">
      <w:pPr>
        <w:spacing w:line="360" w:lineRule="auto"/>
        <w:jc w:val="both"/>
        <w:rPr>
          <w:rFonts w:ascii="Arial" w:hAnsi="Arial" w:cs="Arial"/>
          <w:i/>
        </w:rPr>
      </w:pPr>
    </w:p>
    <w:p w:rsidR="000C080E" w:rsidRPr="00913D4D" w:rsidRDefault="00E80DE1" w:rsidP="00BA33BB">
      <w:pPr>
        <w:pStyle w:val="BodyText"/>
        <w:numPr>
          <w:ilvl w:val="0"/>
          <w:numId w:val="6"/>
        </w:numPr>
        <w:ind w:left="540" w:hanging="540"/>
        <w:rPr>
          <w:rFonts w:cs="Arial"/>
        </w:rPr>
      </w:pPr>
      <w:r>
        <w:rPr>
          <w:rFonts w:cs="Arial"/>
        </w:rPr>
        <w:t>The Dean should</w:t>
      </w:r>
      <w:r w:rsidR="006B0A73" w:rsidRPr="006B0A73">
        <w:rPr>
          <w:rFonts w:cs="Arial"/>
        </w:rPr>
        <w:t xml:space="preserve"> remind </w:t>
      </w:r>
      <w:r>
        <w:rPr>
          <w:rFonts w:cs="Arial"/>
        </w:rPr>
        <w:t>faculty and staff</w:t>
      </w:r>
      <w:r w:rsidRPr="006B0A73">
        <w:rPr>
          <w:rFonts w:cs="Arial"/>
        </w:rPr>
        <w:t xml:space="preserve"> </w:t>
      </w:r>
      <w:r w:rsidR="006B0A73" w:rsidRPr="006B0A73">
        <w:rPr>
          <w:rFonts w:cs="Arial"/>
        </w:rPr>
        <w:t xml:space="preserve">of the need to properly disclose any potential conflicts of interest.  This includes completing the "Request for Approval of Proposed Purchasing Involving Possible Conflict of Interest" form when any potential conflicts exist.  </w:t>
      </w:r>
    </w:p>
    <w:p w:rsidR="004D1F04" w:rsidRDefault="004D1F04" w:rsidP="00BA33BB">
      <w:pPr>
        <w:pStyle w:val="BodyText"/>
        <w:rPr>
          <w:rFonts w:cs="Arial"/>
          <w:i/>
        </w:rPr>
      </w:pPr>
    </w:p>
    <w:p w:rsidR="00BA33BB" w:rsidRDefault="00BA33BB" w:rsidP="00BA33BB">
      <w:pPr>
        <w:pStyle w:val="BodyText"/>
        <w:rPr>
          <w:rFonts w:cs="Arial"/>
          <w:i/>
        </w:rPr>
      </w:pPr>
      <w:r w:rsidRPr="00BA33BB">
        <w:rPr>
          <w:rFonts w:cs="Arial"/>
          <w:i/>
        </w:rPr>
        <w:t>Inf</w:t>
      </w:r>
      <w:r w:rsidR="007F5DED">
        <w:rPr>
          <w:rFonts w:cs="Arial"/>
          <w:i/>
        </w:rPr>
        <w:t>ormation Systems</w:t>
      </w:r>
    </w:p>
    <w:p w:rsidR="00272463" w:rsidRPr="00BA33BB" w:rsidRDefault="00272463" w:rsidP="00BA33BB">
      <w:pPr>
        <w:pStyle w:val="BodyText"/>
        <w:rPr>
          <w:rFonts w:cs="Arial"/>
          <w:i/>
        </w:rPr>
      </w:pPr>
    </w:p>
    <w:p w:rsidR="000C080E" w:rsidRPr="000C080E" w:rsidRDefault="000C080E" w:rsidP="007C2AC3">
      <w:pPr>
        <w:pStyle w:val="ListParagraph"/>
        <w:numPr>
          <w:ilvl w:val="0"/>
          <w:numId w:val="6"/>
        </w:numPr>
        <w:spacing w:line="360" w:lineRule="auto"/>
        <w:ind w:left="540" w:hanging="540"/>
        <w:jc w:val="both"/>
        <w:rPr>
          <w:rFonts w:ascii="Arial" w:hAnsi="Arial"/>
        </w:rPr>
      </w:pPr>
      <w:r w:rsidRPr="000C080E">
        <w:rPr>
          <w:rFonts w:ascii="Arial" w:hAnsi="Arial"/>
        </w:rPr>
        <w:t xml:space="preserve">Management should continue their efforts to gather an inventory of all </w:t>
      </w:r>
      <w:r w:rsidR="00013655">
        <w:rPr>
          <w:rFonts w:ascii="Arial" w:hAnsi="Arial"/>
        </w:rPr>
        <w:t xml:space="preserve">information </w:t>
      </w:r>
      <w:r w:rsidRPr="000C080E">
        <w:rPr>
          <w:rFonts w:ascii="Arial" w:hAnsi="Arial"/>
        </w:rPr>
        <w:t xml:space="preserve">systems with </w:t>
      </w:r>
      <w:r w:rsidR="00272463">
        <w:rPr>
          <w:rFonts w:ascii="Arial" w:hAnsi="Arial"/>
        </w:rPr>
        <w:t>Personal Identifying Information (</w:t>
      </w:r>
      <w:r w:rsidR="001D6A86">
        <w:rPr>
          <w:rFonts w:ascii="Arial" w:hAnsi="Arial"/>
        </w:rPr>
        <w:t>PII</w:t>
      </w:r>
      <w:r w:rsidR="00272463">
        <w:rPr>
          <w:rFonts w:ascii="Arial" w:hAnsi="Arial"/>
        </w:rPr>
        <w:t>)</w:t>
      </w:r>
      <w:r w:rsidR="001D6A86">
        <w:rPr>
          <w:rFonts w:ascii="Arial" w:hAnsi="Arial"/>
        </w:rPr>
        <w:t xml:space="preserve"> data</w:t>
      </w:r>
      <w:r w:rsidRPr="000C080E">
        <w:rPr>
          <w:rFonts w:ascii="Arial" w:hAnsi="Arial"/>
        </w:rPr>
        <w:t xml:space="preserve">.  </w:t>
      </w:r>
      <w:r w:rsidR="00252631">
        <w:rPr>
          <w:rFonts w:ascii="Arial" w:hAnsi="Arial"/>
        </w:rPr>
        <w:t xml:space="preserve">Correspondingly, </w:t>
      </w:r>
      <w:r w:rsidR="00252631" w:rsidRPr="00AF2E43">
        <w:rPr>
          <w:rFonts w:ascii="Arial" w:hAnsi="Arial"/>
        </w:rPr>
        <w:t>areas</w:t>
      </w:r>
      <w:r w:rsidR="00252631">
        <w:rPr>
          <w:rFonts w:ascii="Arial" w:hAnsi="Arial"/>
        </w:rPr>
        <w:t xml:space="preserve"> with PII data should be reminded to ensure that access </w:t>
      </w:r>
      <w:r w:rsidRPr="000C080E">
        <w:rPr>
          <w:rFonts w:ascii="Arial" w:hAnsi="Arial"/>
        </w:rPr>
        <w:t>control</w:t>
      </w:r>
      <w:r w:rsidR="00252631">
        <w:rPr>
          <w:rFonts w:ascii="Arial" w:hAnsi="Arial"/>
        </w:rPr>
        <w:t>s</w:t>
      </w:r>
      <w:r w:rsidRPr="000C080E">
        <w:rPr>
          <w:rFonts w:ascii="Arial" w:hAnsi="Arial"/>
        </w:rPr>
        <w:t xml:space="preserve"> over systems </w:t>
      </w:r>
      <w:r w:rsidR="00252631">
        <w:rPr>
          <w:rFonts w:ascii="Arial" w:hAnsi="Arial"/>
        </w:rPr>
        <w:t>with PII</w:t>
      </w:r>
      <w:r w:rsidRPr="000C080E">
        <w:rPr>
          <w:rFonts w:ascii="Arial" w:hAnsi="Arial"/>
        </w:rPr>
        <w:t xml:space="preserve"> data</w:t>
      </w:r>
      <w:r w:rsidR="00252631">
        <w:rPr>
          <w:rFonts w:ascii="Arial" w:hAnsi="Arial"/>
        </w:rPr>
        <w:t>, including proper security and pas</w:t>
      </w:r>
      <w:r w:rsidRPr="000C080E">
        <w:rPr>
          <w:rFonts w:ascii="Arial" w:hAnsi="Arial"/>
        </w:rPr>
        <w:t>sword controls</w:t>
      </w:r>
      <w:r w:rsidR="00AF2E43">
        <w:rPr>
          <w:rFonts w:ascii="Arial" w:hAnsi="Arial"/>
        </w:rPr>
        <w:t>, are</w:t>
      </w:r>
      <w:r w:rsidR="00252631">
        <w:rPr>
          <w:rFonts w:ascii="Arial" w:hAnsi="Arial"/>
        </w:rPr>
        <w:t xml:space="preserve"> </w:t>
      </w:r>
      <w:r w:rsidR="00272463">
        <w:rPr>
          <w:rFonts w:ascii="Arial" w:hAnsi="Arial"/>
        </w:rPr>
        <w:t>in compliance with University policies and procedures</w:t>
      </w:r>
      <w:r w:rsidR="00252631">
        <w:rPr>
          <w:rFonts w:ascii="Arial" w:hAnsi="Arial"/>
        </w:rPr>
        <w:t>.</w:t>
      </w:r>
    </w:p>
    <w:p w:rsidR="000C080E" w:rsidRPr="000C080E" w:rsidRDefault="000C080E" w:rsidP="000C080E">
      <w:pPr>
        <w:pStyle w:val="ListParagraph"/>
        <w:spacing w:line="360" w:lineRule="auto"/>
        <w:ind w:left="360"/>
        <w:jc w:val="both"/>
        <w:rPr>
          <w:rFonts w:ascii="Arial" w:hAnsi="Arial"/>
        </w:rPr>
      </w:pPr>
    </w:p>
    <w:p w:rsidR="00216D58" w:rsidRDefault="008D4397" w:rsidP="00272463">
      <w:pPr>
        <w:pStyle w:val="BodyText"/>
        <w:numPr>
          <w:ilvl w:val="0"/>
          <w:numId w:val="6"/>
        </w:numPr>
        <w:ind w:left="540" w:hanging="540"/>
        <w:rPr>
          <w:rFonts w:cs="Arial"/>
        </w:rPr>
      </w:pPr>
      <w:r>
        <w:rPr>
          <w:rFonts w:cs="Arial"/>
        </w:rPr>
        <w:t>S</w:t>
      </w:r>
      <w:r w:rsidR="00A6457A">
        <w:rPr>
          <w:rFonts w:cs="Arial"/>
        </w:rPr>
        <w:t>uper</w:t>
      </w:r>
      <w:r w:rsidR="00636498">
        <w:rPr>
          <w:rFonts w:cs="Arial"/>
        </w:rPr>
        <w:t>user activity</w:t>
      </w:r>
      <w:r w:rsidR="00AE14AC" w:rsidRPr="00AE14AC">
        <w:rPr>
          <w:rFonts w:cs="Arial"/>
        </w:rPr>
        <w:t xml:space="preserve"> logs</w:t>
      </w:r>
      <w:r>
        <w:rPr>
          <w:rFonts w:cs="Arial"/>
        </w:rPr>
        <w:t xml:space="preserve"> at the Dean’s Office</w:t>
      </w:r>
      <w:r w:rsidR="00AE14AC" w:rsidRPr="00AE14AC">
        <w:rPr>
          <w:rFonts w:cs="Arial"/>
        </w:rPr>
        <w:t xml:space="preserve"> should be periodically reviewed by an independent and knowledgeable individual</w:t>
      </w:r>
      <w:r w:rsidR="00DA4C57">
        <w:rPr>
          <w:rFonts w:cs="Arial"/>
        </w:rPr>
        <w:t>,</w:t>
      </w:r>
      <w:r w:rsidR="00AE14AC" w:rsidRPr="00AE14AC">
        <w:rPr>
          <w:rFonts w:cs="Arial"/>
        </w:rPr>
        <w:t xml:space="preserve"> to ensure that </w:t>
      </w:r>
      <w:r w:rsidR="00C50F0F">
        <w:rPr>
          <w:rFonts w:cs="Arial"/>
        </w:rPr>
        <w:t>these</w:t>
      </w:r>
      <w:r w:rsidR="00C50F0F" w:rsidRPr="00AE14AC">
        <w:rPr>
          <w:rFonts w:cs="Arial"/>
        </w:rPr>
        <w:t xml:space="preserve"> </w:t>
      </w:r>
      <w:r w:rsidR="00AE14AC" w:rsidRPr="00AE14AC">
        <w:rPr>
          <w:rFonts w:cs="Arial"/>
        </w:rPr>
        <w:t>accounts are only u</w:t>
      </w:r>
      <w:r w:rsidR="00AE14AC">
        <w:rPr>
          <w:rFonts w:cs="Arial"/>
        </w:rPr>
        <w:t xml:space="preserve">sed for authorized purposes.  </w:t>
      </w:r>
      <w:r w:rsidR="00AE14AC" w:rsidRPr="00AE14AC">
        <w:rPr>
          <w:rFonts w:cs="Arial"/>
        </w:rPr>
        <w:t xml:space="preserve">For other areas within the </w:t>
      </w:r>
      <w:r w:rsidR="00494FCD">
        <w:rPr>
          <w:rFonts w:cs="Arial"/>
        </w:rPr>
        <w:t>School</w:t>
      </w:r>
      <w:r w:rsidR="00AE14AC" w:rsidRPr="00AE14AC">
        <w:rPr>
          <w:rFonts w:cs="Arial"/>
        </w:rPr>
        <w:t>, onc</w:t>
      </w:r>
      <w:r w:rsidR="0020113B">
        <w:rPr>
          <w:rFonts w:cs="Arial"/>
        </w:rPr>
        <w:t>e it is determined where PII</w:t>
      </w:r>
      <w:r w:rsidR="00AE14AC" w:rsidRPr="00AE14AC">
        <w:rPr>
          <w:rFonts w:cs="Arial"/>
        </w:rPr>
        <w:t xml:space="preserve"> data resides, management should send out periodic notifications to </w:t>
      </w:r>
      <w:r w:rsidR="00626A32">
        <w:rPr>
          <w:rFonts w:cs="Arial"/>
        </w:rPr>
        <w:t xml:space="preserve">these </w:t>
      </w:r>
      <w:r w:rsidR="00626A32" w:rsidRPr="00AF2E43">
        <w:rPr>
          <w:rFonts w:cs="Arial"/>
        </w:rPr>
        <w:t>areas</w:t>
      </w:r>
      <w:r w:rsidR="00626A32">
        <w:rPr>
          <w:rFonts w:cs="Arial"/>
        </w:rPr>
        <w:t>, reminding them that superuser activity should be</w:t>
      </w:r>
      <w:r w:rsidR="00AE14AC" w:rsidRPr="00AE14AC">
        <w:rPr>
          <w:rFonts w:cs="Arial"/>
        </w:rPr>
        <w:t xml:space="preserve"> logged and monitored.</w:t>
      </w:r>
    </w:p>
    <w:p w:rsidR="00546934" w:rsidRDefault="00546934" w:rsidP="00566341">
      <w:pPr>
        <w:pStyle w:val="BodyText"/>
        <w:rPr>
          <w:rFonts w:cs="Arial"/>
        </w:rPr>
      </w:pPr>
    </w:p>
    <w:p w:rsidR="00AE14AC" w:rsidRPr="001A0D2F" w:rsidRDefault="001A0D2F" w:rsidP="0037670C">
      <w:pPr>
        <w:spacing w:line="360" w:lineRule="auto"/>
        <w:jc w:val="both"/>
        <w:rPr>
          <w:rFonts w:ascii="Arial" w:hAnsi="Arial"/>
          <w:i/>
        </w:rPr>
      </w:pPr>
      <w:r w:rsidRPr="001A0D2F">
        <w:rPr>
          <w:rFonts w:ascii="Arial" w:hAnsi="Arial"/>
          <w:i/>
        </w:rPr>
        <w:t>Gift Funds and Endowments</w:t>
      </w:r>
    </w:p>
    <w:p w:rsidR="00272463" w:rsidRDefault="00272463" w:rsidP="0037670C">
      <w:pPr>
        <w:pStyle w:val="BodyText"/>
        <w:ind w:left="360"/>
        <w:rPr>
          <w:rFonts w:cs="Arial"/>
        </w:rPr>
      </w:pPr>
    </w:p>
    <w:p w:rsidR="00AE14AC" w:rsidRDefault="000D3382" w:rsidP="0037670C">
      <w:pPr>
        <w:pStyle w:val="BodyText"/>
        <w:numPr>
          <w:ilvl w:val="0"/>
          <w:numId w:val="6"/>
        </w:numPr>
        <w:ind w:left="540" w:hanging="540"/>
        <w:rPr>
          <w:rFonts w:cs="Arial"/>
        </w:rPr>
      </w:pPr>
      <w:r>
        <w:rPr>
          <w:rFonts w:cs="Arial"/>
        </w:rPr>
        <w:t>The Dean</w:t>
      </w:r>
      <w:r w:rsidR="009B4B95" w:rsidRPr="009B4B95">
        <w:rPr>
          <w:rFonts w:cs="Arial"/>
        </w:rPr>
        <w:t xml:space="preserve"> should disseminate reminder policies and information regarding categorizing monies as gifts or grants </w:t>
      </w:r>
      <w:r w:rsidR="009E51FD">
        <w:rPr>
          <w:rFonts w:cs="Arial"/>
        </w:rPr>
        <w:t>t</w:t>
      </w:r>
      <w:r w:rsidR="00272463">
        <w:rPr>
          <w:rFonts w:cs="Arial"/>
        </w:rPr>
        <w:t xml:space="preserve">o </w:t>
      </w:r>
      <w:r>
        <w:rPr>
          <w:rFonts w:cs="Arial"/>
        </w:rPr>
        <w:t xml:space="preserve">faculty and staff </w:t>
      </w:r>
      <w:r w:rsidR="00272463">
        <w:rPr>
          <w:rFonts w:cs="Arial"/>
        </w:rPr>
        <w:t xml:space="preserve">within the </w:t>
      </w:r>
      <w:r w:rsidR="00494FCD">
        <w:rPr>
          <w:rFonts w:cs="Arial"/>
        </w:rPr>
        <w:t>School</w:t>
      </w:r>
      <w:r w:rsidR="009E51FD">
        <w:rPr>
          <w:rFonts w:cs="Arial"/>
        </w:rPr>
        <w:t xml:space="preserve"> </w:t>
      </w:r>
      <w:r w:rsidR="003330E2">
        <w:rPr>
          <w:rFonts w:cs="Arial"/>
        </w:rPr>
        <w:t xml:space="preserve">on a regular </w:t>
      </w:r>
      <w:r w:rsidR="009B4B95" w:rsidRPr="009B4B95">
        <w:rPr>
          <w:rFonts w:cs="Arial"/>
        </w:rPr>
        <w:t xml:space="preserve">basis.  Additional training should be provided to </w:t>
      </w:r>
      <w:r w:rsidR="009B4B95" w:rsidRPr="00AF2E43">
        <w:rPr>
          <w:rFonts w:cs="Arial"/>
        </w:rPr>
        <w:t xml:space="preserve">areas as needed.  </w:t>
      </w:r>
      <w:r w:rsidR="00B03988" w:rsidRPr="00AF2E43">
        <w:rPr>
          <w:rFonts w:cs="Arial"/>
        </w:rPr>
        <w:t>A</w:t>
      </w:r>
      <w:r w:rsidR="0055046C" w:rsidRPr="00AF2E43">
        <w:rPr>
          <w:rFonts w:cs="Arial"/>
        </w:rPr>
        <w:t>lso, a</w:t>
      </w:r>
      <w:r w:rsidR="00B03988" w:rsidRPr="00AF2E43">
        <w:rPr>
          <w:rFonts w:cs="Arial"/>
        </w:rPr>
        <w:t>reas</w:t>
      </w:r>
      <w:r w:rsidR="00B03988">
        <w:rPr>
          <w:rFonts w:cs="Arial"/>
        </w:rPr>
        <w:t xml:space="preserve"> can </w:t>
      </w:r>
      <w:r w:rsidR="009B4B95" w:rsidRPr="009B4B95">
        <w:rPr>
          <w:rFonts w:cs="Arial"/>
        </w:rPr>
        <w:t>confer with the appropriate Campus units for guidance in determining how monies should be recognized (including Office of Research Administration, Office of Contract and Grant Administration, Office of Intellectual Property &amp; Industry Sponsored Research, Institutional Review Boards, etc.).</w:t>
      </w:r>
    </w:p>
    <w:p w:rsidR="006B0A73" w:rsidRPr="00AE14AC" w:rsidRDefault="006B0A73" w:rsidP="006B0A73">
      <w:pPr>
        <w:pStyle w:val="BodyText"/>
        <w:rPr>
          <w:rFonts w:cs="Arial"/>
        </w:rPr>
      </w:pPr>
    </w:p>
    <w:p w:rsidR="004E01AE" w:rsidRDefault="004E01AE" w:rsidP="00272463">
      <w:pPr>
        <w:spacing w:line="360" w:lineRule="auto"/>
        <w:jc w:val="both"/>
        <w:rPr>
          <w:rFonts w:ascii="Arial" w:hAnsi="Arial"/>
        </w:rPr>
      </w:pPr>
      <w:r w:rsidRPr="00862489">
        <w:rPr>
          <w:rFonts w:ascii="Arial" w:hAnsi="Arial"/>
        </w:rPr>
        <w:t>The audit results and recommendations are detailed in the following section of the report.</w:t>
      </w:r>
    </w:p>
    <w:p w:rsidR="00235B6C" w:rsidRDefault="00235B6C" w:rsidP="00272463">
      <w:pPr>
        <w:spacing w:line="360" w:lineRule="auto"/>
        <w:jc w:val="both"/>
        <w:rPr>
          <w:rFonts w:ascii="Arial" w:hAnsi="Arial"/>
        </w:rPr>
      </w:pPr>
    </w:p>
    <w:p w:rsidR="00235B6C" w:rsidRDefault="00235B6C" w:rsidP="00272463">
      <w:pPr>
        <w:spacing w:line="360" w:lineRule="auto"/>
        <w:jc w:val="both"/>
        <w:rPr>
          <w:rFonts w:ascii="Arial" w:hAnsi="Arial"/>
        </w:rPr>
      </w:pPr>
    </w:p>
    <w:p w:rsidR="004F1385" w:rsidRDefault="004F1385" w:rsidP="00272463">
      <w:pPr>
        <w:spacing w:line="360" w:lineRule="auto"/>
        <w:jc w:val="both"/>
        <w:rPr>
          <w:rFonts w:ascii="Arial" w:hAnsi="Arial"/>
        </w:rPr>
      </w:pPr>
    </w:p>
    <w:p w:rsidR="004F1385" w:rsidRDefault="004F1385" w:rsidP="00272463">
      <w:pPr>
        <w:spacing w:line="360" w:lineRule="auto"/>
        <w:jc w:val="both"/>
        <w:rPr>
          <w:rFonts w:ascii="Arial" w:hAnsi="Arial"/>
        </w:rPr>
      </w:pPr>
    </w:p>
    <w:p w:rsidR="00593B4F" w:rsidRDefault="00593B4F" w:rsidP="00272463">
      <w:pPr>
        <w:spacing w:line="360" w:lineRule="auto"/>
        <w:jc w:val="both"/>
        <w:rPr>
          <w:rFonts w:ascii="Arial" w:hAnsi="Arial"/>
        </w:rPr>
      </w:pPr>
    </w:p>
    <w:p w:rsidR="00593B4F" w:rsidRDefault="00593B4F" w:rsidP="00272463">
      <w:pPr>
        <w:spacing w:line="360" w:lineRule="auto"/>
        <w:jc w:val="both"/>
        <w:rPr>
          <w:rFonts w:ascii="Arial" w:hAnsi="Arial"/>
        </w:rPr>
      </w:pPr>
    </w:p>
    <w:sdt>
      <w:sdtPr>
        <w:rPr>
          <w:rFonts w:ascii="Times New Roman" w:eastAsia="Times New Roman" w:hAnsi="Times New Roman" w:cs="Times New Roman"/>
          <w:b w:val="0"/>
          <w:bCs w:val="0"/>
          <w:color w:val="auto"/>
          <w:sz w:val="24"/>
          <w:szCs w:val="24"/>
          <w:lang w:eastAsia="en-US"/>
        </w:rPr>
        <w:id w:val="2122729687"/>
        <w:docPartObj>
          <w:docPartGallery w:val="Table of Contents"/>
          <w:docPartUnique/>
        </w:docPartObj>
      </w:sdtPr>
      <w:sdtEndPr>
        <w:rPr>
          <w:noProof/>
        </w:rPr>
      </w:sdtEndPr>
      <w:sdtContent>
        <w:p w:rsidR="005F327D" w:rsidRPr="008776A5" w:rsidRDefault="00211748" w:rsidP="00BD4C75">
          <w:pPr>
            <w:pStyle w:val="TOCHeading"/>
            <w:jc w:val="center"/>
            <w:rPr>
              <w:rFonts w:ascii="Arial" w:hAnsi="Arial" w:cs="Arial"/>
              <w:b w:val="0"/>
              <w:color w:val="auto"/>
              <w:sz w:val="24"/>
              <w:szCs w:val="24"/>
              <w:u w:val="single"/>
            </w:rPr>
          </w:pPr>
          <w:r w:rsidRPr="008776A5">
            <w:rPr>
              <w:rFonts w:ascii="Arial" w:hAnsi="Arial" w:cs="Arial"/>
              <w:b w:val="0"/>
              <w:color w:val="auto"/>
              <w:sz w:val="24"/>
              <w:szCs w:val="24"/>
              <w:u w:val="single"/>
            </w:rPr>
            <w:t xml:space="preserve">Table of </w:t>
          </w:r>
          <w:r w:rsidR="005F327D" w:rsidRPr="008776A5">
            <w:rPr>
              <w:rFonts w:ascii="Arial" w:hAnsi="Arial" w:cs="Arial"/>
              <w:b w:val="0"/>
              <w:color w:val="auto"/>
              <w:sz w:val="24"/>
              <w:szCs w:val="24"/>
              <w:u w:val="single"/>
            </w:rPr>
            <w:t>Contents</w:t>
          </w:r>
        </w:p>
        <w:p w:rsidR="00D1711D" w:rsidRPr="008776A5" w:rsidRDefault="00D1711D" w:rsidP="00D1711D">
          <w:pPr>
            <w:rPr>
              <w:rFonts w:ascii="Arial" w:hAnsi="Arial" w:cs="Arial"/>
              <w:lang w:eastAsia="ja-JP"/>
            </w:rPr>
          </w:pPr>
        </w:p>
        <w:p w:rsidR="00867917" w:rsidRPr="008776A5" w:rsidRDefault="00867917" w:rsidP="00BD4C75">
          <w:pPr>
            <w:jc w:val="both"/>
            <w:rPr>
              <w:rFonts w:ascii="Arial" w:hAnsi="Arial" w:cs="Arial"/>
              <w:lang w:eastAsia="ja-JP"/>
            </w:rPr>
          </w:pPr>
        </w:p>
        <w:p w:rsidR="008776A5" w:rsidRDefault="005F327D">
          <w:pPr>
            <w:pStyle w:val="TOC1"/>
            <w:tabs>
              <w:tab w:val="right" w:leader="dot" w:pos="8630"/>
            </w:tabs>
            <w:rPr>
              <w:rStyle w:val="Hyperlink"/>
              <w:rFonts w:ascii="Arial" w:hAnsi="Arial" w:cs="Arial"/>
              <w:noProof/>
            </w:rPr>
          </w:pPr>
          <w:r w:rsidRPr="008776A5">
            <w:rPr>
              <w:rFonts w:ascii="Arial" w:hAnsi="Arial" w:cs="Arial"/>
            </w:rPr>
            <w:fldChar w:fldCharType="begin"/>
          </w:r>
          <w:r w:rsidRPr="008776A5">
            <w:rPr>
              <w:rFonts w:ascii="Arial" w:hAnsi="Arial" w:cs="Arial"/>
            </w:rPr>
            <w:instrText xml:space="preserve"> TOC \o "1-3" \h \z \u </w:instrText>
          </w:r>
          <w:r w:rsidRPr="008776A5">
            <w:rPr>
              <w:rFonts w:ascii="Arial" w:hAnsi="Arial" w:cs="Arial"/>
            </w:rPr>
            <w:fldChar w:fldCharType="separate"/>
          </w:r>
          <w:hyperlink w:anchor="_Toc453765942" w:history="1">
            <w:r w:rsidR="008776A5" w:rsidRPr="008776A5">
              <w:rPr>
                <w:rStyle w:val="Hyperlink"/>
                <w:rFonts w:ascii="Arial" w:hAnsi="Arial" w:cs="Arial"/>
                <w:noProof/>
              </w:rPr>
              <w:t>Audit Results and Recommendations</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_Toc453765942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8</w:t>
            </w:r>
            <w:r w:rsidR="008776A5" w:rsidRPr="008776A5">
              <w:rPr>
                <w:rFonts w:ascii="Arial" w:hAnsi="Arial" w:cs="Arial"/>
                <w:noProof/>
                <w:webHidden/>
              </w:rPr>
              <w:fldChar w:fldCharType="end"/>
            </w:r>
          </w:hyperlink>
        </w:p>
        <w:p w:rsidR="008776A5" w:rsidRPr="008776A5" w:rsidRDefault="008776A5" w:rsidP="008776A5">
          <w:pPr>
            <w:rPr>
              <w:rFonts w:eastAsiaTheme="minorEastAsia"/>
              <w:noProof/>
            </w:rPr>
          </w:pPr>
        </w:p>
        <w:p w:rsidR="008776A5" w:rsidRPr="008776A5" w:rsidRDefault="00593B4F">
          <w:pPr>
            <w:pStyle w:val="TOC2"/>
            <w:tabs>
              <w:tab w:val="right" w:leader="dot" w:pos="8630"/>
            </w:tabs>
            <w:rPr>
              <w:rFonts w:ascii="Arial" w:eastAsiaTheme="minorEastAsia" w:hAnsi="Arial" w:cs="Arial"/>
              <w:noProof/>
            </w:rPr>
          </w:pPr>
          <w:hyperlink w:anchor="_Toc453765943" w:history="1">
            <w:r w:rsidR="008776A5" w:rsidRPr="008776A5">
              <w:rPr>
                <w:rStyle w:val="Hyperlink"/>
                <w:rFonts w:ascii="Arial" w:hAnsi="Arial" w:cs="Arial"/>
                <w:noProof/>
              </w:rPr>
              <w:t>Financial Management</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_Toc453765943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8</w:t>
            </w:r>
            <w:r w:rsidR="008776A5" w:rsidRPr="008776A5">
              <w:rPr>
                <w:rFonts w:ascii="Arial" w:hAnsi="Arial" w:cs="Arial"/>
                <w:noProof/>
                <w:webHidden/>
              </w:rPr>
              <w:fldChar w:fldCharType="end"/>
            </w:r>
          </w:hyperlink>
        </w:p>
        <w:p w:rsidR="008776A5" w:rsidRPr="008776A5" w:rsidRDefault="00593B4F">
          <w:pPr>
            <w:pStyle w:val="TOC3"/>
            <w:rPr>
              <w:rFonts w:ascii="Arial" w:eastAsiaTheme="minorEastAsia" w:hAnsi="Arial" w:cs="Arial"/>
              <w:noProof/>
            </w:rPr>
          </w:pPr>
          <w:hyperlink w:anchor="_Toc453765944" w:history="1">
            <w:r w:rsidR="008776A5" w:rsidRPr="008776A5">
              <w:rPr>
                <w:rStyle w:val="Hyperlink"/>
                <w:rFonts w:ascii="Arial" w:hAnsi="Arial" w:cs="Arial"/>
                <w:noProof/>
              </w:rPr>
              <w:t>A.</w:t>
            </w:r>
            <w:r w:rsidR="008776A5" w:rsidRPr="008776A5">
              <w:rPr>
                <w:rFonts w:ascii="Arial" w:eastAsiaTheme="minorEastAsia" w:hAnsi="Arial" w:cs="Arial"/>
                <w:noProof/>
              </w:rPr>
              <w:tab/>
            </w:r>
            <w:r w:rsidR="008776A5" w:rsidRPr="008776A5">
              <w:rPr>
                <w:rStyle w:val="Hyperlink"/>
                <w:rFonts w:ascii="Arial" w:hAnsi="Arial" w:cs="Arial"/>
                <w:noProof/>
              </w:rPr>
              <w:t>Low Value Orders (LVOs)</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_Toc453765944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8</w:t>
            </w:r>
            <w:r w:rsidR="008776A5" w:rsidRPr="008776A5">
              <w:rPr>
                <w:rFonts w:ascii="Arial" w:hAnsi="Arial" w:cs="Arial"/>
                <w:noProof/>
                <w:webHidden/>
              </w:rPr>
              <w:fldChar w:fldCharType="end"/>
            </w:r>
          </w:hyperlink>
        </w:p>
        <w:p w:rsidR="008776A5" w:rsidRPr="008776A5" w:rsidRDefault="00593B4F">
          <w:pPr>
            <w:pStyle w:val="TOC3"/>
            <w:rPr>
              <w:rFonts w:ascii="Arial" w:eastAsiaTheme="minorEastAsia" w:hAnsi="Arial" w:cs="Arial"/>
              <w:noProof/>
            </w:rPr>
          </w:pPr>
          <w:hyperlink w:anchor="_Toc453765945" w:history="1">
            <w:r w:rsidR="008776A5" w:rsidRPr="008776A5">
              <w:rPr>
                <w:rStyle w:val="Hyperlink"/>
                <w:rFonts w:ascii="Arial" w:hAnsi="Arial" w:cs="Arial"/>
                <w:noProof/>
              </w:rPr>
              <w:t>B.</w:t>
            </w:r>
            <w:r w:rsidR="008776A5" w:rsidRPr="008776A5">
              <w:rPr>
                <w:rFonts w:ascii="Arial" w:eastAsiaTheme="minorEastAsia" w:hAnsi="Arial" w:cs="Arial"/>
                <w:noProof/>
              </w:rPr>
              <w:tab/>
            </w:r>
            <w:r w:rsidR="008776A5" w:rsidRPr="008776A5">
              <w:rPr>
                <w:rStyle w:val="Hyperlink"/>
                <w:rFonts w:ascii="Arial" w:hAnsi="Arial" w:cs="Arial"/>
                <w:noProof/>
              </w:rPr>
              <w:t>Bruin Buy Order Input Delay</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_Toc453765945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9</w:t>
            </w:r>
            <w:r w:rsidR="008776A5" w:rsidRPr="008776A5">
              <w:rPr>
                <w:rFonts w:ascii="Arial" w:hAnsi="Arial" w:cs="Arial"/>
                <w:noProof/>
                <w:webHidden/>
              </w:rPr>
              <w:fldChar w:fldCharType="end"/>
            </w:r>
          </w:hyperlink>
        </w:p>
        <w:p w:rsidR="008776A5" w:rsidRDefault="00593B4F">
          <w:pPr>
            <w:pStyle w:val="TOC3"/>
            <w:rPr>
              <w:rStyle w:val="Hyperlink"/>
              <w:rFonts w:ascii="Arial" w:hAnsi="Arial" w:cs="Arial"/>
              <w:noProof/>
            </w:rPr>
          </w:pPr>
          <w:hyperlink w:anchor="_Toc453765946" w:history="1">
            <w:r w:rsidR="008776A5" w:rsidRPr="008776A5">
              <w:rPr>
                <w:rStyle w:val="Hyperlink"/>
                <w:rFonts w:ascii="Arial" w:hAnsi="Arial" w:cs="Arial"/>
                <w:noProof/>
              </w:rPr>
              <w:t>C.</w:t>
            </w:r>
            <w:r w:rsidR="008776A5" w:rsidRPr="008776A5">
              <w:rPr>
                <w:rFonts w:ascii="Arial" w:eastAsiaTheme="minorEastAsia" w:hAnsi="Arial" w:cs="Arial"/>
                <w:noProof/>
              </w:rPr>
              <w:tab/>
            </w:r>
            <w:r w:rsidR="008776A5" w:rsidRPr="008776A5">
              <w:rPr>
                <w:rStyle w:val="Hyperlink"/>
                <w:rFonts w:ascii="Arial" w:hAnsi="Arial" w:cs="Arial"/>
                <w:noProof/>
              </w:rPr>
              <w:t>Post Authorization Notice (PAN) Review</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_Toc453765946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11</w:t>
            </w:r>
            <w:r w:rsidR="008776A5" w:rsidRPr="008776A5">
              <w:rPr>
                <w:rFonts w:ascii="Arial" w:hAnsi="Arial" w:cs="Arial"/>
                <w:noProof/>
                <w:webHidden/>
              </w:rPr>
              <w:fldChar w:fldCharType="end"/>
            </w:r>
          </w:hyperlink>
        </w:p>
        <w:p w:rsidR="008776A5" w:rsidRPr="008776A5" w:rsidRDefault="008776A5" w:rsidP="008776A5">
          <w:pPr>
            <w:rPr>
              <w:rFonts w:eastAsiaTheme="minorEastAsia"/>
              <w:noProof/>
            </w:rPr>
          </w:pPr>
        </w:p>
        <w:p w:rsidR="008776A5" w:rsidRDefault="00593B4F">
          <w:pPr>
            <w:pStyle w:val="TOC2"/>
            <w:tabs>
              <w:tab w:val="right" w:leader="dot" w:pos="8630"/>
            </w:tabs>
            <w:rPr>
              <w:rStyle w:val="Hyperlink"/>
              <w:rFonts w:ascii="Arial" w:hAnsi="Arial" w:cs="Arial"/>
              <w:noProof/>
            </w:rPr>
          </w:pPr>
          <w:hyperlink w:anchor="_Toc453765947" w:history="1">
            <w:r w:rsidR="008776A5" w:rsidRPr="008776A5">
              <w:rPr>
                <w:rStyle w:val="Hyperlink"/>
                <w:rFonts w:ascii="Arial" w:hAnsi="Arial" w:cs="Arial"/>
                <w:noProof/>
              </w:rPr>
              <w:t>Conflict of Interest</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_Toc453765947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12</w:t>
            </w:r>
            <w:r w:rsidR="008776A5" w:rsidRPr="008776A5">
              <w:rPr>
                <w:rFonts w:ascii="Arial" w:hAnsi="Arial" w:cs="Arial"/>
                <w:noProof/>
                <w:webHidden/>
              </w:rPr>
              <w:fldChar w:fldCharType="end"/>
            </w:r>
          </w:hyperlink>
        </w:p>
        <w:p w:rsidR="008776A5" w:rsidRPr="008776A5" w:rsidRDefault="008776A5" w:rsidP="008776A5">
          <w:pPr>
            <w:rPr>
              <w:rFonts w:eastAsiaTheme="minorEastAsia"/>
              <w:noProof/>
            </w:rPr>
          </w:pPr>
        </w:p>
        <w:p w:rsidR="008776A5" w:rsidRPr="008776A5" w:rsidRDefault="00593B4F">
          <w:pPr>
            <w:pStyle w:val="TOC2"/>
            <w:tabs>
              <w:tab w:val="right" w:leader="dot" w:pos="8630"/>
            </w:tabs>
            <w:rPr>
              <w:rFonts w:ascii="Arial" w:eastAsiaTheme="minorEastAsia" w:hAnsi="Arial" w:cs="Arial"/>
              <w:noProof/>
            </w:rPr>
          </w:pPr>
          <w:hyperlink w:anchor="_Toc453765948" w:history="1">
            <w:r w:rsidR="008776A5" w:rsidRPr="008776A5">
              <w:rPr>
                <w:rStyle w:val="Hyperlink"/>
                <w:rFonts w:ascii="Arial" w:hAnsi="Arial" w:cs="Arial"/>
                <w:noProof/>
              </w:rPr>
              <w:t>Information Systems</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_Toc453765948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14</w:t>
            </w:r>
            <w:r w:rsidR="008776A5" w:rsidRPr="008776A5">
              <w:rPr>
                <w:rFonts w:ascii="Arial" w:hAnsi="Arial" w:cs="Arial"/>
                <w:noProof/>
                <w:webHidden/>
              </w:rPr>
              <w:fldChar w:fldCharType="end"/>
            </w:r>
          </w:hyperlink>
        </w:p>
        <w:p w:rsidR="008776A5" w:rsidRPr="008776A5" w:rsidRDefault="00593B4F">
          <w:pPr>
            <w:pStyle w:val="TOC3"/>
            <w:rPr>
              <w:rFonts w:ascii="Arial" w:eastAsiaTheme="minorEastAsia" w:hAnsi="Arial" w:cs="Arial"/>
              <w:noProof/>
            </w:rPr>
          </w:pPr>
          <w:hyperlink w:anchor="_Toc453765949" w:history="1">
            <w:r w:rsidR="008776A5" w:rsidRPr="008776A5">
              <w:rPr>
                <w:rStyle w:val="Hyperlink"/>
                <w:rFonts w:ascii="Arial" w:hAnsi="Arial" w:cs="Arial"/>
                <w:noProof/>
              </w:rPr>
              <w:t>A.</w:t>
            </w:r>
            <w:r w:rsidR="008776A5" w:rsidRPr="008776A5">
              <w:rPr>
                <w:rFonts w:ascii="Arial" w:eastAsiaTheme="minorEastAsia" w:hAnsi="Arial" w:cs="Arial"/>
                <w:noProof/>
              </w:rPr>
              <w:tab/>
            </w:r>
            <w:r w:rsidR="008776A5" w:rsidRPr="008776A5">
              <w:rPr>
                <w:rStyle w:val="Hyperlink"/>
                <w:rFonts w:ascii="Arial" w:hAnsi="Arial" w:cs="Arial"/>
                <w:noProof/>
              </w:rPr>
              <w:t>Personally Identifiable Information (PII) Data</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_Toc453765949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14</w:t>
            </w:r>
            <w:r w:rsidR="008776A5" w:rsidRPr="008776A5">
              <w:rPr>
                <w:rFonts w:ascii="Arial" w:hAnsi="Arial" w:cs="Arial"/>
                <w:noProof/>
                <w:webHidden/>
              </w:rPr>
              <w:fldChar w:fldCharType="end"/>
            </w:r>
          </w:hyperlink>
        </w:p>
        <w:p w:rsidR="008776A5" w:rsidRPr="008776A5" w:rsidRDefault="00593B4F">
          <w:pPr>
            <w:pStyle w:val="TOC3"/>
            <w:rPr>
              <w:rFonts w:ascii="Arial" w:eastAsiaTheme="minorEastAsia" w:hAnsi="Arial" w:cs="Arial"/>
              <w:noProof/>
            </w:rPr>
          </w:pPr>
          <w:hyperlink w:anchor="_Toc453765950" w:history="1">
            <w:r w:rsidR="008776A5" w:rsidRPr="008776A5">
              <w:rPr>
                <w:rStyle w:val="Hyperlink"/>
                <w:rFonts w:ascii="Arial" w:hAnsi="Arial" w:cs="Arial"/>
                <w:noProof/>
              </w:rPr>
              <w:t>B.</w:t>
            </w:r>
            <w:r w:rsidR="008776A5" w:rsidRPr="008776A5">
              <w:rPr>
                <w:rFonts w:ascii="Arial" w:eastAsiaTheme="minorEastAsia" w:hAnsi="Arial" w:cs="Arial"/>
                <w:noProof/>
              </w:rPr>
              <w:tab/>
            </w:r>
            <w:r w:rsidR="008776A5" w:rsidRPr="008776A5">
              <w:rPr>
                <w:rStyle w:val="Hyperlink"/>
                <w:rFonts w:ascii="Arial" w:hAnsi="Arial" w:cs="Arial"/>
                <w:noProof/>
              </w:rPr>
              <w:t>Superuser Review</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_Toc453765950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15</w:t>
            </w:r>
            <w:r w:rsidR="008776A5" w:rsidRPr="008776A5">
              <w:rPr>
                <w:rFonts w:ascii="Arial" w:hAnsi="Arial" w:cs="Arial"/>
                <w:noProof/>
                <w:webHidden/>
              </w:rPr>
              <w:fldChar w:fldCharType="end"/>
            </w:r>
          </w:hyperlink>
        </w:p>
        <w:p w:rsidR="008776A5" w:rsidRPr="008776A5" w:rsidRDefault="00593B4F">
          <w:pPr>
            <w:pStyle w:val="TOC3"/>
            <w:rPr>
              <w:rFonts w:ascii="Arial" w:eastAsiaTheme="minorEastAsia" w:hAnsi="Arial" w:cs="Arial"/>
              <w:noProof/>
            </w:rPr>
          </w:pPr>
          <w:hyperlink w:anchor="_Toc453765951" w:history="1">
            <w:r w:rsidR="008776A5" w:rsidRPr="008776A5">
              <w:rPr>
                <w:rStyle w:val="Hyperlink"/>
                <w:rFonts w:ascii="Arial" w:hAnsi="Arial" w:cs="Arial"/>
                <w:noProof/>
              </w:rPr>
              <w:t>C.</w:t>
            </w:r>
            <w:r w:rsidR="008776A5" w:rsidRPr="008776A5">
              <w:rPr>
                <w:rFonts w:ascii="Arial" w:eastAsiaTheme="minorEastAsia" w:hAnsi="Arial" w:cs="Arial"/>
                <w:noProof/>
              </w:rPr>
              <w:tab/>
            </w:r>
            <w:r w:rsidR="008776A5" w:rsidRPr="008776A5">
              <w:rPr>
                <w:rStyle w:val="Hyperlink"/>
                <w:rFonts w:ascii="Arial" w:hAnsi="Arial" w:cs="Arial"/>
                <w:noProof/>
              </w:rPr>
              <w:t>Physical Security</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_Toc453765951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17</w:t>
            </w:r>
            <w:r w:rsidR="008776A5" w:rsidRPr="008776A5">
              <w:rPr>
                <w:rFonts w:ascii="Arial" w:hAnsi="Arial" w:cs="Arial"/>
                <w:noProof/>
                <w:webHidden/>
              </w:rPr>
              <w:fldChar w:fldCharType="end"/>
            </w:r>
          </w:hyperlink>
        </w:p>
        <w:p w:rsidR="008776A5" w:rsidRDefault="00593B4F">
          <w:pPr>
            <w:pStyle w:val="TOC3"/>
            <w:rPr>
              <w:rStyle w:val="Hyperlink"/>
              <w:rFonts w:ascii="Arial" w:hAnsi="Arial" w:cs="Arial"/>
              <w:noProof/>
            </w:rPr>
          </w:pPr>
          <w:hyperlink w:anchor="_Toc453765952" w:history="1">
            <w:r w:rsidR="008776A5" w:rsidRPr="008776A5">
              <w:rPr>
                <w:rStyle w:val="Hyperlink"/>
                <w:rFonts w:ascii="Arial" w:hAnsi="Arial" w:cs="Arial"/>
                <w:noProof/>
              </w:rPr>
              <w:t>D.</w:t>
            </w:r>
            <w:r w:rsidR="008776A5" w:rsidRPr="008776A5">
              <w:rPr>
                <w:rFonts w:ascii="Arial" w:eastAsiaTheme="minorEastAsia" w:hAnsi="Arial" w:cs="Arial"/>
                <w:noProof/>
              </w:rPr>
              <w:tab/>
            </w:r>
            <w:r w:rsidR="008776A5" w:rsidRPr="008776A5">
              <w:rPr>
                <w:rStyle w:val="Hyperlink"/>
                <w:rFonts w:ascii="Arial" w:hAnsi="Arial" w:cs="Arial"/>
                <w:noProof/>
              </w:rPr>
              <w:t>Technical Controls</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_Toc453765952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17</w:t>
            </w:r>
            <w:r w:rsidR="008776A5" w:rsidRPr="008776A5">
              <w:rPr>
                <w:rFonts w:ascii="Arial" w:hAnsi="Arial" w:cs="Arial"/>
                <w:noProof/>
                <w:webHidden/>
              </w:rPr>
              <w:fldChar w:fldCharType="end"/>
            </w:r>
          </w:hyperlink>
        </w:p>
        <w:p w:rsidR="008776A5" w:rsidRPr="008776A5" w:rsidRDefault="008776A5" w:rsidP="008776A5">
          <w:pPr>
            <w:rPr>
              <w:rFonts w:eastAsiaTheme="minorEastAsia"/>
              <w:noProof/>
            </w:rPr>
          </w:pPr>
        </w:p>
        <w:p w:rsidR="008776A5" w:rsidRDefault="00593B4F">
          <w:pPr>
            <w:pStyle w:val="TOC2"/>
            <w:tabs>
              <w:tab w:val="right" w:leader="dot" w:pos="8630"/>
            </w:tabs>
            <w:rPr>
              <w:rStyle w:val="Hyperlink"/>
              <w:rFonts w:ascii="Arial" w:hAnsi="Arial" w:cs="Arial"/>
              <w:noProof/>
            </w:rPr>
          </w:pPr>
          <w:hyperlink w:anchor="_Toc453765953" w:history="1">
            <w:r w:rsidR="008776A5" w:rsidRPr="008776A5">
              <w:rPr>
                <w:rStyle w:val="Hyperlink"/>
                <w:rFonts w:ascii="Arial" w:hAnsi="Arial" w:cs="Arial"/>
                <w:noProof/>
              </w:rPr>
              <w:t>Gift Funds and Endowments</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_Toc453765953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20</w:t>
            </w:r>
            <w:r w:rsidR="008776A5" w:rsidRPr="008776A5">
              <w:rPr>
                <w:rFonts w:ascii="Arial" w:hAnsi="Arial" w:cs="Arial"/>
                <w:noProof/>
                <w:webHidden/>
              </w:rPr>
              <w:fldChar w:fldCharType="end"/>
            </w:r>
          </w:hyperlink>
        </w:p>
        <w:p w:rsidR="008776A5" w:rsidRPr="008776A5" w:rsidRDefault="008776A5" w:rsidP="008776A5">
          <w:pPr>
            <w:rPr>
              <w:rFonts w:eastAsiaTheme="minorEastAsia"/>
              <w:noProof/>
            </w:rPr>
          </w:pPr>
        </w:p>
        <w:p w:rsidR="008776A5" w:rsidRPr="008776A5" w:rsidRDefault="00593B4F">
          <w:pPr>
            <w:pStyle w:val="TOC2"/>
            <w:tabs>
              <w:tab w:val="right" w:leader="dot" w:pos="8630"/>
            </w:tabs>
            <w:rPr>
              <w:rFonts w:ascii="Arial" w:eastAsiaTheme="minorEastAsia" w:hAnsi="Arial" w:cs="Arial"/>
              <w:noProof/>
            </w:rPr>
          </w:pPr>
          <w:hyperlink w:anchor="_Toc453765954" w:history="1">
            <w:r w:rsidR="008776A5" w:rsidRPr="008776A5">
              <w:rPr>
                <w:rStyle w:val="Hyperlink"/>
                <w:rFonts w:ascii="Arial" w:hAnsi="Arial" w:cs="Arial"/>
                <w:noProof/>
              </w:rPr>
              <w:t>Faculty Hiring and Diversity</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_Toc453765954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22</w:t>
            </w:r>
            <w:r w:rsidR="008776A5" w:rsidRPr="008776A5">
              <w:rPr>
                <w:rFonts w:ascii="Arial" w:hAnsi="Arial" w:cs="Arial"/>
                <w:noProof/>
                <w:webHidden/>
              </w:rPr>
              <w:fldChar w:fldCharType="end"/>
            </w:r>
          </w:hyperlink>
        </w:p>
        <w:p w:rsidR="008776A5" w:rsidRPr="008776A5" w:rsidRDefault="008776A5" w:rsidP="008776A5">
          <w:pPr>
            <w:rPr>
              <w:rFonts w:eastAsiaTheme="minorEastAsia"/>
              <w:noProof/>
            </w:rPr>
          </w:pPr>
        </w:p>
        <w:p w:rsidR="008776A5" w:rsidRPr="008776A5" w:rsidRDefault="00593B4F">
          <w:pPr>
            <w:pStyle w:val="TOC2"/>
            <w:tabs>
              <w:tab w:val="right" w:leader="dot" w:pos="8630"/>
            </w:tabs>
            <w:rPr>
              <w:rFonts w:ascii="Arial" w:eastAsiaTheme="minorEastAsia" w:hAnsi="Arial" w:cs="Arial"/>
              <w:noProof/>
            </w:rPr>
          </w:pPr>
          <w:hyperlink w:anchor="_Toc453765956" w:history="1">
            <w:r w:rsidR="008776A5" w:rsidRPr="008776A5">
              <w:rPr>
                <w:rStyle w:val="Hyperlink"/>
                <w:rFonts w:ascii="Arial" w:hAnsi="Arial" w:cs="Arial"/>
                <w:noProof/>
              </w:rPr>
              <w:t>Budget and Planning Processes</w:t>
            </w:r>
            <w:r w:rsidR="008776A5" w:rsidRPr="008776A5">
              <w:rPr>
                <w:rFonts w:ascii="Arial" w:hAnsi="Arial" w:cs="Arial"/>
                <w:noProof/>
                <w:webHidden/>
              </w:rPr>
              <w:tab/>
            </w:r>
            <w:r w:rsidR="008776A5" w:rsidRPr="008776A5">
              <w:rPr>
                <w:rFonts w:ascii="Arial" w:hAnsi="Arial" w:cs="Arial"/>
                <w:noProof/>
                <w:webHidden/>
              </w:rPr>
              <w:fldChar w:fldCharType="begin"/>
            </w:r>
            <w:r w:rsidR="008776A5" w:rsidRPr="008776A5">
              <w:rPr>
                <w:rFonts w:ascii="Arial" w:hAnsi="Arial" w:cs="Arial"/>
                <w:noProof/>
                <w:webHidden/>
              </w:rPr>
              <w:instrText xml:space="preserve"> PAGEREF _Toc453765956 \h </w:instrText>
            </w:r>
            <w:r w:rsidR="008776A5" w:rsidRPr="008776A5">
              <w:rPr>
                <w:rFonts w:ascii="Arial" w:hAnsi="Arial" w:cs="Arial"/>
                <w:noProof/>
                <w:webHidden/>
              </w:rPr>
            </w:r>
            <w:r w:rsidR="008776A5" w:rsidRPr="008776A5">
              <w:rPr>
                <w:rFonts w:ascii="Arial" w:hAnsi="Arial" w:cs="Arial"/>
                <w:noProof/>
                <w:webHidden/>
              </w:rPr>
              <w:fldChar w:fldCharType="separate"/>
            </w:r>
            <w:r w:rsidR="004F1385">
              <w:rPr>
                <w:rFonts w:ascii="Arial" w:hAnsi="Arial" w:cs="Arial"/>
                <w:noProof/>
                <w:webHidden/>
              </w:rPr>
              <w:t>24</w:t>
            </w:r>
            <w:r w:rsidR="008776A5" w:rsidRPr="008776A5">
              <w:rPr>
                <w:rFonts w:ascii="Arial" w:hAnsi="Arial" w:cs="Arial"/>
                <w:noProof/>
                <w:webHidden/>
              </w:rPr>
              <w:fldChar w:fldCharType="end"/>
            </w:r>
          </w:hyperlink>
        </w:p>
        <w:p w:rsidR="005F327D" w:rsidRDefault="005F327D" w:rsidP="00BD4C75">
          <w:pPr>
            <w:jc w:val="both"/>
          </w:pPr>
          <w:r w:rsidRPr="008776A5">
            <w:rPr>
              <w:rFonts w:ascii="Arial" w:hAnsi="Arial" w:cs="Arial"/>
              <w:b/>
              <w:bCs/>
              <w:noProof/>
            </w:rPr>
            <w:fldChar w:fldCharType="end"/>
          </w:r>
        </w:p>
      </w:sdtContent>
    </w:sdt>
    <w:p w:rsidR="00235B6C" w:rsidRDefault="00235B6C" w:rsidP="007C2AC3">
      <w:bookmarkStart w:id="0" w:name="_Toc453765942"/>
    </w:p>
    <w:p w:rsidR="00E9203D" w:rsidRDefault="00E9203D" w:rsidP="00FE570F">
      <w:pPr>
        <w:pStyle w:val="Heading1"/>
      </w:pPr>
    </w:p>
    <w:p w:rsidR="00E9203D" w:rsidRDefault="00E9203D" w:rsidP="00FE570F">
      <w:pPr>
        <w:pStyle w:val="Heading1"/>
      </w:pPr>
    </w:p>
    <w:p w:rsidR="00E9203D" w:rsidRDefault="00E9203D" w:rsidP="00FE570F">
      <w:pPr>
        <w:pStyle w:val="Heading1"/>
      </w:pPr>
    </w:p>
    <w:p w:rsidR="00E9203D" w:rsidRDefault="00E9203D" w:rsidP="00FE570F">
      <w:pPr>
        <w:pStyle w:val="Heading1"/>
      </w:pPr>
    </w:p>
    <w:p w:rsidR="00E9203D" w:rsidRDefault="00E9203D" w:rsidP="00E9203D"/>
    <w:p w:rsidR="00E9203D" w:rsidRPr="00E9203D" w:rsidRDefault="00E9203D" w:rsidP="00E9203D"/>
    <w:p w:rsidR="0043643F" w:rsidRDefault="0043643F" w:rsidP="00FE570F">
      <w:pPr>
        <w:pStyle w:val="Heading1"/>
      </w:pPr>
      <w:r>
        <w:t>Audit Results and Recommendations</w:t>
      </w:r>
    </w:p>
    <w:bookmarkEnd w:id="0"/>
    <w:p w:rsidR="00FE570F" w:rsidRPr="00FE570F" w:rsidRDefault="00FE570F" w:rsidP="0043643F">
      <w:pPr>
        <w:pStyle w:val="Heading1"/>
      </w:pPr>
    </w:p>
    <w:p w:rsidR="006A6E8B" w:rsidRPr="007C2AC3" w:rsidRDefault="006A6E8B" w:rsidP="00FE570F">
      <w:pPr>
        <w:pStyle w:val="Heading2"/>
        <w:spacing w:before="0" w:line="360" w:lineRule="auto"/>
        <w:jc w:val="center"/>
        <w:rPr>
          <w:rFonts w:ascii="Arial" w:hAnsi="Arial"/>
          <w:b w:val="0"/>
          <w:color w:val="auto"/>
          <w:sz w:val="24"/>
          <w:szCs w:val="24"/>
          <w:u w:val="single"/>
        </w:rPr>
      </w:pPr>
      <w:bookmarkStart w:id="1" w:name="_Toc453765943"/>
      <w:r w:rsidRPr="007C2AC3">
        <w:rPr>
          <w:rFonts w:ascii="Arial" w:hAnsi="Arial"/>
          <w:b w:val="0"/>
          <w:color w:val="auto"/>
          <w:sz w:val="24"/>
          <w:szCs w:val="24"/>
          <w:u w:val="single"/>
        </w:rPr>
        <w:t>Financial Management</w:t>
      </w:r>
      <w:bookmarkEnd w:id="1"/>
    </w:p>
    <w:p w:rsidR="007A3904" w:rsidRDefault="007A3904" w:rsidP="007A3904">
      <w:pPr>
        <w:spacing w:line="360" w:lineRule="auto"/>
        <w:jc w:val="both"/>
        <w:rPr>
          <w:rFonts w:ascii="Arial" w:hAnsi="Arial"/>
        </w:rPr>
      </w:pPr>
    </w:p>
    <w:p w:rsidR="00703D00" w:rsidRDefault="001510D3" w:rsidP="00703D00">
      <w:pPr>
        <w:spacing w:line="360" w:lineRule="auto"/>
        <w:jc w:val="both"/>
        <w:rPr>
          <w:rFonts w:ascii="Arial" w:hAnsi="Arial"/>
        </w:rPr>
      </w:pPr>
      <w:r>
        <w:rPr>
          <w:rFonts w:ascii="Arial" w:hAnsi="Arial"/>
        </w:rPr>
        <w:t>A</w:t>
      </w:r>
      <w:r w:rsidR="009A32E4">
        <w:rPr>
          <w:rFonts w:ascii="Arial" w:hAnsi="Arial"/>
        </w:rPr>
        <w:t xml:space="preserve"> sample of 50</w:t>
      </w:r>
      <w:r w:rsidR="007A3904" w:rsidRPr="007A3904">
        <w:rPr>
          <w:rFonts w:ascii="Arial" w:hAnsi="Arial"/>
        </w:rPr>
        <w:t xml:space="preserve"> </w:t>
      </w:r>
      <w:r w:rsidR="003052FD">
        <w:rPr>
          <w:rFonts w:ascii="Arial" w:hAnsi="Arial"/>
        </w:rPr>
        <w:t xml:space="preserve">expense transactions </w:t>
      </w:r>
      <w:r w:rsidR="00B95358">
        <w:rPr>
          <w:rFonts w:ascii="Arial" w:hAnsi="Arial"/>
        </w:rPr>
        <w:t>were judgmentally selected</w:t>
      </w:r>
      <w:r w:rsidR="007A3904" w:rsidRPr="007A3904">
        <w:rPr>
          <w:rFonts w:ascii="Arial" w:hAnsi="Arial"/>
        </w:rPr>
        <w:t xml:space="preserve"> for review</w:t>
      </w:r>
      <w:r>
        <w:rPr>
          <w:rFonts w:ascii="Arial" w:hAnsi="Arial"/>
        </w:rPr>
        <w:t xml:space="preserve"> from </w:t>
      </w:r>
      <w:r w:rsidR="00272463">
        <w:rPr>
          <w:rFonts w:ascii="Arial" w:hAnsi="Arial"/>
        </w:rPr>
        <w:t>fiscal year</w:t>
      </w:r>
      <w:r>
        <w:rPr>
          <w:rFonts w:ascii="Arial" w:hAnsi="Arial"/>
        </w:rPr>
        <w:t xml:space="preserve"> 2014-15 financial data</w:t>
      </w:r>
      <w:r w:rsidR="0074291D">
        <w:rPr>
          <w:rFonts w:ascii="Arial" w:hAnsi="Arial"/>
        </w:rPr>
        <w:t xml:space="preserve">.  For each item, </w:t>
      </w:r>
      <w:r w:rsidR="007A3904">
        <w:rPr>
          <w:rFonts w:ascii="Arial" w:hAnsi="Arial"/>
        </w:rPr>
        <w:t>supporting documentation</w:t>
      </w:r>
      <w:r w:rsidR="0074291D">
        <w:rPr>
          <w:rFonts w:ascii="Arial" w:hAnsi="Arial"/>
        </w:rPr>
        <w:t xml:space="preserve"> was reviewed</w:t>
      </w:r>
      <w:r w:rsidR="00114580">
        <w:rPr>
          <w:rFonts w:ascii="Arial" w:hAnsi="Arial"/>
        </w:rPr>
        <w:t xml:space="preserve"> to verify</w:t>
      </w:r>
      <w:r w:rsidR="007A3904">
        <w:rPr>
          <w:rFonts w:ascii="Arial" w:hAnsi="Arial"/>
        </w:rPr>
        <w:t xml:space="preserve"> that</w:t>
      </w:r>
      <w:r w:rsidR="007A3904" w:rsidRPr="007A3904">
        <w:rPr>
          <w:rFonts w:ascii="Arial" w:hAnsi="Arial"/>
        </w:rPr>
        <w:t xml:space="preserve"> that the disbursement </w:t>
      </w:r>
      <w:r w:rsidR="007A3904">
        <w:rPr>
          <w:rFonts w:ascii="Arial" w:hAnsi="Arial"/>
        </w:rPr>
        <w:t>was</w:t>
      </w:r>
      <w:r w:rsidR="007A3904" w:rsidRPr="007A3904">
        <w:rPr>
          <w:rFonts w:ascii="Arial" w:hAnsi="Arial"/>
        </w:rPr>
        <w:t xml:space="preserve"> an appropr</w:t>
      </w:r>
      <w:r w:rsidR="00114580">
        <w:rPr>
          <w:rFonts w:ascii="Arial" w:hAnsi="Arial"/>
        </w:rPr>
        <w:t xml:space="preserve">iate University expenditure, </w:t>
      </w:r>
      <w:r w:rsidR="007A3904" w:rsidRPr="007A3904">
        <w:rPr>
          <w:rFonts w:ascii="Arial" w:hAnsi="Arial"/>
        </w:rPr>
        <w:t xml:space="preserve">that the expenditure charged to the fund source was reasonable, </w:t>
      </w:r>
      <w:r w:rsidR="007A3904">
        <w:rPr>
          <w:rFonts w:ascii="Arial" w:hAnsi="Arial"/>
        </w:rPr>
        <w:t xml:space="preserve">and that </w:t>
      </w:r>
      <w:r w:rsidR="007A3904" w:rsidRPr="007A3904">
        <w:rPr>
          <w:rFonts w:ascii="Arial" w:hAnsi="Arial"/>
        </w:rPr>
        <w:t>the selection was accurately recorded (in source documentation, general ledg</w:t>
      </w:r>
      <w:r w:rsidR="0074291D">
        <w:rPr>
          <w:rFonts w:ascii="Arial" w:hAnsi="Arial"/>
        </w:rPr>
        <w:t xml:space="preserve">ers, and any related systems).  </w:t>
      </w:r>
      <w:r w:rsidR="007A3904" w:rsidRPr="007A3904">
        <w:rPr>
          <w:rFonts w:ascii="Arial" w:hAnsi="Arial"/>
        </w:rPr>
        <w:t xml:space="preserve">Also, </w:t>
      </w:r>
      <w:r w:rsidR="00114580">
        <w:rPr>
          <w:rFonts w:ascii="Arial" w:hAnsi="Arial"/>
        </w:rPr>
        <w:t>each</w:t>
      </w:r>
      <w:r w:rsidR="007A3904" w:rsidRPr="007A3904">
        <w:rPr>
          <w:rFonts w:ascii="Arial" w:hAnsi="Arial"/>
        </w:rPr>
        <w:t xml:space="preserve"> disbursement</w:t>
      </w:r>
      <w:r w:rsidR="0074291D">
        <w:rPr>
          <w:rFonts w:ascii="Arial" w:hAnsi="Arial"/>
        </w:rPr>
        <w:t xml:space="preserve"> </w:t>
      </w:r>
      <w:r w:rsidR="00114580">
        <w:rPr>
          <w:rFonts w:ascii="Arial" w:hAnsi="Arial"/>
        </w:rPr>
        <w:t>was reviewed to verify that it was</w:t>
      </w:r>
      <w:r w:rsidR="0074291D">
        <w:rPr>
          <w:rFonts w:ascii="Arial" w:hAnsi="Arial"/>
        </w:rPr>
        <w:t xml:space="preserve"> </w:t>
      </w:r>
      <w:r w:rsidR="00FF7BB2">
        <w:rPr>
          <w:rFonts w:ascii="Arial" w:hAnsi="Arial"/>
        </w:rPr>
        <w:t xml:space="preserve">properly </w:t>
      </w:r>
      <w:r w:rsidR="00827C02">
        <w:rPr>
          <w:rFonts w:ascii="Arial" w:hAnsi="Arial"/>
        </w:rPr>
        <w:t>approved</w:t>
      </w:r>
      <w:r w:rsidR="003166A3">
        <w:rPr>
          <w:rFonts w:ascii="Arial" w:hAnsi="Arial"/>
        </w:rPr>
        <w:t>, and that mandatory r</w:t>
      </w:r>
      <w:r w:rsidR="007A3904" w:rsidRPr="007A3904">
        <w:rPr>
          <w:rFonts w:ascii="Arial" w:hAnsi="Arial"/>
        </w:rPr>
        <w:t xml:space="preserve">eviewers </w:t>
      </w:r>
      <w:r w:rsidR="00AE5963">
        <w:rPr>
          <w:rFonts w:ascii="Arial" w:hAnsi="Arial"/>
        </w:rPr>
        <w:t>read</w:t>
      </w:r>
      <w:r w:rsidR="007A3904" w:rsidRPr="007A3904">
        <w:rPr>
          <w:rFonts w:ascii="Arial" w:hAnsi="Arial"/>
        </w:rPr>
        <w:t xml:space="preserve"> the transaction(s) in a timely manner.</w:t>
      </w:r>
      <w:r w:rsidR="00703D00">
        <w:rPr>
          <w:rFonts w:ascii="Arial" w:hAnsi="Arial"/>
        </w:rPr>
        <w:t xml:space="preserve">  </w:t>
      </w:r>
    </w:p>
    <w:p w:rsidR="00703D00" w:rsidRDefault="00703D00" w:rsidP="00703D00">
      <w:pPr>
        <w:spacing w:line="360" w:lineRule="auto"/>
        <w:jc w:val="both"/>
        <w:rPr>
          <w:rFonts w:ascii="Arial" w:hAnsi="Arial"/>
        </w:rPr>
      </w:pPr>
    </w:p>
    <w:p w:rsidR="009C727F" w:rsidRDefault="009C727F" w:rsidP="00703D00">
      <w:pPr>
        <w:spacing w:line="360" w:lineRule="auto"/>
        <w:jc w:val="both"/>
        <w:rPr>
          <w:rFonts w:ascii="Arial" w:hAnsi="Arial"/>
        </w:rPr>
      </w:pPr>
      <w:r>
        <w:rPr>
          <w:rFonts w:ascii="Arial" w:hAnsi="Arial"/>
        </w:rPr>
        <w:t>While it appears that most tr</w:t>
      </w:r>
      <w:r w:rsidR="00E61F9D">
        <w:rPr>
          <w:rFonts w:ascii="Arial" w:hAnsi="Arial"/>
        </w:rPr>
        <w:t xml:space="preserve">ansactions were </w:t>
      </w:r>
      <w:r w:rsidR="00956E4B">
        <w:rPr>
          <w:rFonts w:ascii="Arial" w:hAnsi="Arial"/>
        </w:rPr>
        <w:t>proper and appropriate, the following improvements are warranted</w:t>
      </w:r>
      <w:r w:rsidR="00B84D65">
        <w:rPr>
          <w:rFonts w:ascii="Arial" w:hAnsi="Arial"/>
        </w:rPr>
        <w:t xml:space="preserve"> with regards to</w:t>
      </w:r>
      <w:r w:rsidR="00272463">
        <w:rPr>
          <w:rFonts w:ascii="Arial" w:hAnsi="Arial"/>
        </w:rPr>
        <w:t xml:space="preserve"> LVOs</w:t>
      </w:r>
      <w:r w:rsidR="00B84D65">
        <w:rPr>
          <w:rFonts w:ascii="Arial" w:hAnsi="Arial"/>
        </w:rPr>
        <w:t xml:space="preserve">, </w:t>
      </w:r>
      <w:r w:rsidR="00DE6339">
        <w:rPr>
          <w:rFonts w:ascii="Arial" w:hAnsi="Arial"/>
        </w:rPr>
        <w:t>Bruin</w:t>
      </w:r>
      <w:r w:rsidR="005C5AA4">
        <w:rPr>
          <w:rFonts w:ascii="Arial" w:hAnsi="Arial"/>
        </w:rPr>
        <w:t>Buy order input delays</w:t>
      </w:r>
      <w:r w:rsidR="00B84D65">
        <w:rPr>
          <w:rFonts w:ascii="Arial" w:hAnsi="Arial"/>
        </w:rPr>
        <w:t>, and PAN reviews.</w:t>
      </w:r>
    </w:p>
    <w:p w:rsidR="007A3904" w:rsidRDefault="007A3904" w:rsidP="006A6E8B">
      <w:pPr>
        <w:spacing w:line="360" w:lineRule="auto"/>
        <w:rPr>
          <w:rFonts w:ascii="Arial" w:hAnsi="Arial"/>
        </w:rPr>
      </w:pPr>
    </w:p>
    <w:p w:rsidR="006579C1" w:rsidRDefault="006579C1" w:rsidP="007C2AC3">
      <w:pPr>
        <w:pStyle w:val="ListParagraph"/>
        <w:numPr>
          <w:ilvl w:val="0"/>
          <w:numId w:val="16"/>
        </w:numPr>
        <w:spacing w:line="360" w:lineRule="auto"/>
        <w:ind w:left="540" w:hanging="540"/>
        <w:outlineLvl w:val="2"/>
        <w:rPr>
          <w:rFonts w:ascii="Arial" w:hAnsi="Arial"/>
          <w:u w:val="single"/>
        </w:rPr>
      </w:pPr>
      <w:bookmarkStart w:id="2" w:name="_Toc453765944"/>
      <w:r w:rsidRPr="006579C1">
        <w:rPr>
          <w:rFonts w:ascii="Arial" w:hAnsi="Arial"/>
          <w:u w:val="single"/>
        </w:rPr>
        <w:t>Low Value Orders</w:t>
      </w:r>
      <w:r w:rsidR="00B84D65">
        <w:rPr>
          <w:rFonts w:ascii="Arial" w:hAnsi="Arial"/>
          <w:u w:val="single"/>
        </w:rPr>
        <w:t xml:space="preserve"> (LVOs)</w:t>
      </w:r>
      <w:bookmarkEnd w:id="2"/>
    </w:p>
    <w:p w:rsidR="0043225C" w:rsidRDefault="0043225C" w:rsidP="0043225C">
      <w:pPr>
        <w:pStyle w:val="ListParagraph"/>
        <w:spacing w:line="360" w:lineRule="auto"/>
        <w:ind w:left="360"/>
        <w:rPr>
          <w:rFonts w:ascii="Arial" w:hAnsi="Arial"/>
          <w:u w:val="single"/>
        </w:rPr>
      </w:pPr>
    </w:p>
    <w:p w:rsidR="007D085A" w:rsidRPr="005C3351" w:rsidRDefault="0043225C" w:rsidP="0037670C">
      <w:pPr>
        <w:spacing w:line="360" w:lineRule="auto"/>
        <w:ind w:left="540"/>
        <w:jc w:val="both"/>
        <w:rPr>
          <w:rFonts w:ascii="Arial" w:hAnsi="Arial"/>
        </w:rPr>
      </w:pPr>
      <w:r>
        <w:rPr>
          <w:rFonts w:ascii="Arial" w:hAnsi="Arial"/>
        </w:rPr>
        <w:t>Based on audit review</w:t>
      </w:r>
      <w:r w:rsidR="005C3351">
        <w:rPr>
          <w:rFonts w:ascii="Arial" w:hAnsi="Arial"/>
        </w:rPr>
        <w:t>, f</w:t>
      </w:r>
      <w:r w:rsidR="007A1166" w:rsidRPr="005C3351">
        <w:rPr>
          <w:rFonts w:ascii="Arial" w:hAnsi="Arial"/>
        </w:rPr>
        <w:t xml:space="preserve">or </w:t>
      </w:r>
      <w:r w:rsidR="0034158B">
        <w:rPr>
          <w:rFonts w:ascii="Arial" w:hAnsi="Arial"/>
        </w:rPr>
        <w:t>nine</w:t>
      </w:r>
      <w:r w:rsidR="005C3351" w:rsidRPr="005C3351">
        <w:rPr>
          <w:rFonts w:ascii="Arial" w:hAnsi="Arial"/>
        </w:rPr>
        <w:t xml:space="preserve"> </w:t>
      </w:r>
      <w:r w:rsidRPr="005C3351">
        <w:rPr>
          <w:rFonts w:ascii="Arial" w:hAnsi="Arial"/>
        </w:rPr>
        <w:t>transactions</w:t>
      </w:r>
      <w:r w:rsidR="00A47462">
        <w:rPr>
          <w:rFonts w:ascii="Arial" w:hAnsi="Arial"/>
        </w:rPr>
        <w:t>, an N-class order</w:t>
      </w:r>
      <w:r w:rsidR="00FE570F">
        <w:rPr>
          <w:rFonts w:ascii="Arial" w:hAnsi="Arial"/>
        </w:rPr>
        <w:t xml:space="preserve"> (LVO)</w:t>
      </w:r>
      <w:r w:rsidR="007A1166" w:rsidRPr="005C3351">
        <w:rPr>
          <w:rFonts w:ascii="Arial" w:hAnsi="Arial"/>
        </w:rPr>
        <w:t xml:space="preserve"> was used to purchase</w:t>
      </w:r>
      <w:r w:rsidR="006C2BAD">
        <w:rPr>
          <w:rFonts w:ascii="Arial" w:hAnsi="Arial"/>
        </w:rPr>
        <w:t xml:space="preserve"> items that appeared to include</w:t>
      </w:r>
      <w:r w:rsidR="007A1166" w:rsidRPr="005C3351">
        <w:rPr>
          <w:rFonts w:ascii="Arial" w:hAnsi="Arial"/>
        </w:rPr>
        <w:t xml:space="preserve"> consulting or professional</w:t>
      </w:r>
      <w:r w:rsidR="00550816">
        <w:rPr>
          <w:rFonts w:ascii="Arial" w:hAnsi="Arial"/>
        </w:rPr>
        <w:t xml:space="preserve"> related</w:t>
      </w:r>
      <w:r w:rsidR="00183987">
        <w:rPr>
          <w:rFonts w:ascii="Arial" w:hAnsi="Arial"/>
        </w:rPr>
        <w:t xml:space="preserve"> services.  </w:t>
      </w:r>
    </w:p>
    <w:p w:rsidR="007D085A" w:rsidRDefault="007D085A" w:rsidP="0037670C">
      <w:pPr>
        <w:spacing w:line="360" w:lineRule="auto"/>
        <w:ind w:left="360"/>
        <w:rPr>
          <w:rFonts w:ascii="Arial" w:hAnsi="Arial"/>
        </w:rPr>
      </w:pPr>
    </w:p>
    <w:p w:rsidR="007A1166" w:rsidRDefault="0043225C" w:rsidP="0037670C">
      <w:pPr>
        <w:spacing w:line="360" w:lineRule="auto"/>
        <w:ind w:left="540"/>
        <w:jc w:val="both"/>
        <w:rPr>
          <w:rFonts w:ascii="Arial" w:hAnsi="Arial"/>
        </w:rPr>
      </w:pPr>
      <w:r w:rsidRPr="0043225C">
        <w:rPr>
          <w:rFonts w:ascii="Arial" w:hAnsi="Arial"/>
        </w:rPr>
        <w:t xml:space="preserve">According to </w:t>
      </w:r>
      <w:r w:rsidR="007A1166" w:rsidRPr="0043225C">
        <w:rPr>
          <w:rFonts w:ascii="Arial" w:hAnsi="Arial"/>
        </w:rPr>
        <w:t>UCLA</w:t>
      </w:r>
      <w:r w:rsidRPr="0043225C">
        <w:rPr>
          <w:rFonts w:ascii="Arial" w:hAnsi="Arial"/>
        </w:rPr>
        <w:t xml:space="preserve"> Policy 741</w:t>
      </w:r>
      <w:r w:rsidR="00FE570F">
        <w:rPr>
          <w:rFonts w:ascii="Arial" w:hAnsi="Arial"/>
        </w:rPr>
        <w:t>, “Low Value Purchases”</w:t>
      </w:r>
      <w:r w:rsidRPr="0043225C">
        <w:rPr>
          <w:rFonts w:ascii="Arial" w:hAnsi="Arial"/>
        </w:rPr>
        <w:t xml:space="preserve"> - Attachment A, these</w:t>
      </w:r>
      <w:r w:rsidR="00E77E8E">
        <w:rPr>
          <w:rFonts w:ascii="Arial" w:hAnsi="Arial"/>
        </w:rPr>
        <w:t xml:space="preserve"> </w:t>
      </w:r>
      <w:r w:rsidR="00F2019B">
        <w:rPr>
          <w:rFonts w:ascii="Arial" w:hAnsi="Arial"/>
        </w:rPr>
        <w:t>items should</w:t>
      </w:r>
      <w:r w:rsidR="00183BAC">
        <w:rPr>
          <w:rFonts w:ascii="Arial" w:hAnsi="Arial"/>
        </w:rPr>
        <w:t xml:space="preserve"> have been processed via a</w:t>
      </w:r>
      <w:r w:rsidR="007A1166" w:rsidRPr="0043225C">
        <w:rPr>
          <w:rFonts w:ascii="Arial" w:hAnsi="Arial"/>
        </w:rPr>
        <w:t xml:space="preserve"> </w:t>
      </w:r>
      <w:r w:rsidR="00FE570F">
        <w:rPr>
          <w:rFonts w:ascii="Arial" w:hAnsi="Arial"/>
        </w:rPr>
        <w:t>Requisition for Purchase Order</w:t>
      </w:r>
      <w:r w:rsidR="00183BAC">
        <w:rPr>
          <w:rFonts w:ascii="Arial" w:hAnsi="Arial"/>
        </w:rPr>
        <w:t>, and not through an</w:t>
      </w:r>
      <w:r w:rsidR="00CB6E87">
        <w:rPr>
          <w:rFonts w:ascii="Arial" w:hAnsi="Arial"/>
        </w:rPr>
        <w:t xml:space="preserve"> LVO</w:t>
      </w:r>
      <w:r w:rsidR="00183BAC">
        <w:rPr>
          <w:rFonts w:ascii="Arial" w:hAnsi="Arial"/>
        </w:rPr>
        <w:t xml:space="preserve">. </w:t>
      </w:r>
      <w:r w:rsidR="00183BAC" w:rsidRPr="005573E6">
        <w:rPr>
          <w:rFonts w:ascii="Arial" w:hAnsi="Arial"/>
        </w:rPr>
        <w:t xml:space="preserve"> </w:t>
      </w:r>
      <w:r w:rsidR="0004152E" w:rsidRPr="005573E6">
        <w:rPr>
          <w:rFonts w:ascii="Arial" w:hAnsi="Arial"/>
        </w:rPr>
        <w:t>When</w:t>
      </w:r>
      <w:r w:rsidR="00D2731A" w:rsidRPr="005573E6">
        <w:rPr>
          <w:rFonts w:ascii="Arial" w:hAnsi="Arial"/>
        </w:rPr>
        <w:t xml:space="preserve"> LVOs are used</w:t>
      </w:r>
      <w:r w:rsidR="0004152E" w:rsidRPr="005573E6">
        <w:rPr>
          <w:rFonts w:ascii="Arial" w:hAnsi="Arial"/>
        </w:rPr>
        <w:t xml:space="preserve"> for such services</w:t>
      </w:r>
      <w:r w:rsidR="00D2731A" w:rsidRPr="005573E6">
        <w:rPr>
          <w:rFonts w:ascii="Arial" w:hAnsi="Arial"/>
        </w:rPr>
        <w:t>, the risk is increased</w:t>
      </w:r>
      <w:r w:rsidR="006F5F79">
        <w:rPr>
          <w:rFonts w:ascii="Arial" w:hAnsi="Arial"/>
        </w:rPr>
        <w:t xml:space="preserve"> of violating the UC Fair Wage/</w:t>
      </w:r>
      <w:r w:rsidR="00D2731A" w:rsidRPr="005573E6">
        <w:rPr>
          <w:rFonts w:ascii="Arial" w:hAnsi="Arial"/>
        </w:rPr>
        <w:t>Fair Work Plan, which requires a certain minimum wage be paid to UC employees working at least 20 hours per week</w:t>
      </w:r>
      <w:r w:rsidR="0004152E" w:rsidRPr="005573E6">
        <w:rPr>
          <w:rFonts w:ascii="Arial" w:hAnsi="Arial"/>
        </w:rPr>
        <w:t>,</w:t>
      </w:r>
      <w:r w:rsidR="00D2731A" w:rsidRPr="005573E6">
        <w:rPr>
          <w:rFonts w:ascii="Arial" w:hAnsi="Arial"/>
        </w:rPr>
        <w:t xml:space="preserve"> as well as employees of suppliers </w:t>
      </w:r>
      <w:r w:rsidR="0004152E" w:rsidRPr="005573E6">
        <w:rPr>
          <w:rFonts w:ascii="Arial" w:hAnsi="Arial"/>
        </w:rPr>
        <w:t>providing services to UC.</w:t>
      </w:r>
      <w:r w:rsidR="00641A5F" w:rsidRPr="005573E6">
        <w:rPr>
          <w:rFonts w:ascii="Arial" w:hAnsi="Arial"/>
        </w:rPr>
        <w:t xml:space="preserve">  </w:t>
      </w:r>
      <w:r w:rsidR="00CB6E87" w:rsidRPr="005573E6">
        <w:rPr>
          <w:rFonts w:ascii="Arial" w:hAnsi="Arial"/>
        </w:rPr>
        <w:t xml:space="preserve">Also, </w:t>
      </w:r>
      <w:r w:rsidR="005573E6">
        <w:rPr>
          <w:rFonts w:ascii="Arial" w:hAnsi="Arial"/>
        </w:rPr>
        <w:t>without an agreement</w:t>
      </w:r>
      <w:r w:rsidR="00FB2FD1">
        <w:rPr>
          <w:rFonts w:ascii="Arial" w:hAnsi="Arial"/>
        </w:rPr>
        <w:t xml:space="preserve"> and applicable terms and conditions</w:t>
      </w:r>
      <w:r w:rsidR="005573E6">
        <w:rPr>
          <w:rFonts w:ascii="Arial" w:hAnsi="Arial"/>
        </w:rPr>
        <w:t xml:space="preserve"> in place, the University is at risk if there is a problem (</w:t>
      </w:r>
      <w:r w:rsidR="003150A7">
        <w:rPr>
          <w:rFonts w:ascii="Arial" w:hAnsi="Arial"/>
        </w:rPr>
        <w:t>i.e.,</w:t>
      </w:r>
      <w:r w:rsidR="001179ED">
        <w:rPr>
          <w:rFonts w:ascii="Arial" w:hAnsi="Arial"/>
        </w:rPr>
        <w:t xml:space="preserve"> </w:t>
      </w:r>
      <w:r w:rsidR="006377C4">
        <w:rPr>
          <w:rFonts w:ascii="Arial" w:hAnsi="Arial"/>
        </w:rPr>
        <w:t>whether</w:t>
      </w:r>
      <w:r w:rsidR="005573E6">
        <w:rPr>
          <w:rFonts w:ascii="Arial" w:hAnsi="Arial"/>
        </w:rPr>
        <w:t xml:space="preserve"> the vendor will hold the University harmless, if the vendor carries insurance, if California law w</w:t>
      </w:r>
      <w:r w:rsidR="006B7A95">
        <w:rPr>
          <w:rFonts w:ascii="Arial" w:hAnsi="Arial"/>
        </w:rPr>
        <w:t>ill govern any legal issues,</w:t>
      </w:r>
      <w:r w:rsidR="005573E6">
        <w:rPr>
          <w:rFonts w:ascii="Arial" w:hAnsi="Arial"/>
        </w:rPr>
        <w:t xml:space="preserve"> if the contract can be terminated</w:t>
      </w:r>
      <w:r w:rsidR="0096525F">
        <w:rPr>
          <w:rFonts w:ascii="Arial" w:hAnsi="Arial"/>
        </w:rPr>
        <w:t>, etc.</w:t>
      </w:r>
      <w:r w:rsidR="005573E6">
        <w:rPr>
          <w:rFonts w:ascii="Arial" w:hAnsi="Arial"/>
        </w:rPr>
        <w:t>).</w:t>
      </w:r>
    </w:p>
    <w:p w:rsidR="00632D16" w:rsidRDefault="00632D16" w:rsidP="003730F4">
      <w:pPr>
        <w:spacing w:line="360" w:lineRule="auto"/>
        <w:jc w:val="both"/>
        <w:rPr>
          <w:rFonts w:ascii="Arial" w:hAnsi="Arial"/>
        </w:rPr>
      </w:pPr>
    </w:p>
    <w:p w:rsidR="007233B1" w:rsidRPr="00AF2E43" w:rsidRDefault="0079359C" w:rsidP="007C2AC3">
      <w:pPr>
        <w:spacing w:line="360" w:lineRule="auto"/>
        <w:ind w:left="540"/>
        <w:jc w:val="both"/>
        <w:rPr>
          <w:rFonts w:ascii="Arial" w:hAnsi="Arial"/>
        </w:rPr>
      </w:pPr>
      <w:r w:rsidRPr="0079359C">
        <w:rPr>
          <w:rFonts w:ascii="Arial" w:hAnsi="Arial"/>
          <w:u w:val="single"/>
        </w:rPr>
        <w:t>Recommendation</w:t>
      </w:r>
      <w:r>
        <w:rPr>
          <w:rFonts w:ascii="Arial" w:hAnsi="Arial"/>
        </w:rPr>
        <w:t xml:space="preserve">:  </w:t>
      </w:r>
      <w:r w:rsidR="00013655">
        <w:rPr>
          <w:rFonts w:ascii="Arial" w:hAnsi="Arial"/>
        </w:rPr>
        <w:t>T</w:t>
      </w:r>
      <w:r w:rsidR="00CD4DD9" w:rsidRPr="00CD4DD9">
        <w:rPr>
          <w:rFonts w:ascii="Arial" w:hAnsi="Arial"/>
        </w:rPr>
        <w:t>o help ensure that the proper terms an</w:t>
      </w:r>
      <w:r w:rsidR="00CD4DD9">
        <w:rPr>
          <w:rFonts w:ascii="Arial" w:hAnsi="Arial"/>
        </w:rPr>
        <w:t xml:space="preserve">d </w:t>
      </w:r>
      <w:r w:rsidR="00CD4DD9" w:rsidRPr="00AF2E43">
        <w:rPr>
          <w:rFonts w:ascii="Arial" w:hAnsi="Arial"/>
        </w:rPr>
        <w:t>conditions are applied to purchases</w:t>
      </w:r>
      <w:r w:rsidR="00FB2FD1" w:rsidRPr="00AF2E43">
        <w:rPr>
          <w:rFonts w:ascii="Arial" w:hAnsi="Arial"/>
        </w:rPr>
        <w:t xml:space="preserve"> and </w:t>
      </w:r>
      <w:r w:rsidR="00CD4DD9" w:rsidRPr="00AF2E43">
        <w:rPr>
          <w:rFonts w:ascii="Arial" w:hAnsi="Arial"/>
        </w:rPr>
        <w:t xml:space="preserve">vendors, management should </w:t>
      </w:r>
      <w:r w:rsidR="00AD2083" w:rsidRPr="00AF2E43">
        <w:rPr>
          <w:rFonts w:ascii="Arial" w:hAnsi="Arial"/>
        </w:rPr>
        <w:t>send out regular reminders</w:t>
      </w:r>
      <w:r w:rsidR="00CD4DD9" w:rsidRPr="00AF2E43">
        <w:rPr>
          <w:rFonts w:ascii="Arial" w:hAnsi="Arial"/>
        </w:rPr>
        <w:t xml:space="preserve"> that consulting </w:t>
      </w:r>
      <w:r w:rsidR="00504703" w:rsidRPr="00AF2E43">
        <w:rPr>
          <w:rFonts w:ascii="Arial" w:hAnsi="Arial"/>
        </w:rPr>
        <w:t>and/</w:t>
      </w:r>
      <w:r w:rsidR="00CD4DD9" w:rsidRPr="00AF2E43">
        <w:rPr>
          <w:rFonts w:ascii="Arial" w:hAnsi="Arial"/>
        </w:rPr>
        <w:t>or professional services should be processed on a</w:t>
      </w:r>
      <w:r w:rsidR="00504703" w:rsidRPr="00AF2E43">
        <w:rPr>
          <w:rFonts w:ascii="Arial" w:hAnsi="Arial"/>
        </w:rPr>
        <w:t xml:space="preserve"> </w:t>
      </w:r>
      <w:r w:rsidR="00FE570F" w:rsidRPr="00AF2E43">
        <w:rPr>
          <w:rFonts w:ascii="Arial" w:hAnsi="Arial"/>
        </w:rPr>
        <w:t>Requisition for Purchase Order</w:t>
      </w:r>
      <w:r w:rsidR="00E27DBA">
        <w:rPr>
          <w:rFonts w:ascii="Arial" w:hAnsi="Arial"/>
        </w:rPr>
        <w:t xml:space="preserve"> or Independent Consultant Agreement, when applicable</w:t>
      </w:r>
      <w:r w:rsidR="00CA5759" w:rsidRPr="00AF2E43">
        <w:rPr>
          <w:rFonts w:ascii="Arial" w:hAnsi="Arial"/>
        </w:rPr>
        <w:t xml:space="preserve">.  </w:t>
      </w:r>
      <w:r w:rsidR="008D438D" w:rsidRPr="00AF2E43">
        <w:rPr>
          <w:rFonts w:ascii="Arial" w:hAnsi="Arial"/>
        </w:rPr>
        <w:t>LVOs should not be used in these instances.</w:t>
      </w:r>
      <w:r w:rsidR="00F72BB3" w:rsidRPr="00AF2E43">
        <w:rPr>
          <w:rFonts w:ascii="Arial" w:hAnsi="Arial"/>
        </w:rPr>
        <w:t xml:space="preserve"> </w:t>
      </w:r>
      <w:r w:rsidR="006C2BAD" w:rsidRPr="00AF2E43">
        <w:rPr>
          <w:rFonts w:ascii="Arial" w:hAnsi="Arial"/>
        </w:rPr>
        <w:t xml:space="preserve"> </w:t>
      </w:r>
    </w:p>
    <w:p w:rsidR="007233B1" w:rsidRPr="00AF2E43" w:rsidRDefault="007233B1" w:rsidP="007C2AC3">
      <w:pPr>
        <w:spacing w:line="360" w:lineRule="auto"/>
        <w:ind w:left="540"/>
        <w:jc w:val="both"/>
        <w:rPr>
          <w:rFonts w:ascii="Arial" w:hAnsi="Arial"/>
        </w:rPr>
      </w:pPr>
    </w:p>
    <w:p w:rsidR="0079359C" w:rsidRDefault="006C2BAD" w:rsidP="007C2AC3">
      <w:pPr>
        <w:spacing w:line="360" w:lineRule="auto"/>
        <w:ind w:left="540"/>
        <w:jc w:val="both"/>
        <w:rPr>
          <w:rFonts w:ascii="Arial" w:hAnsi="Arial"/>
        </w:rPr>
      </w:pPr>
      <w:r w:rsidRPr="00AF2E43">
        <w:rPr>
          <w:rFonts w:ascii="Arial" w:hAnsi="Arial"/>
        </w:rPr>
        <w:t>Campus Purchasing should be consulted for any questionable it</w:t>
      </w:r>
      <w:r w:rsidR="00971C29" w:rsidRPr="00AF2E43">
        <w:rPr>
          <w:rFonts w:ascii="Arial" w:hAnsi="Arial"/>
        </w:rPr>
        <w:t>em</w:t>
      </w:r>
      <w:r w:rsidRPr="00AF2E43">
        <w:rPr>
          <w:rFonts w:ascii="Arial" w:hAnsi="Arial"/>
        </w:rPr>
        <w:t>s.</w:t>
      </w:r>
      <w:r w:rsidR="008D438D" w:rsidRPr="00AF2E43">
        <w:rPr>
          <w:rFonts w:ascii="Arial" w:hAnsi="Arial"/>
        </w:rPr>
        <w:t xml:space="preserve"> </w:t>
      </w:r>
      <w:r w:rsidRPr="00AF2E43">
        <w:rPr>
          <w:rFonts w:ascii="Arial" w:hAnsi="Arial"/>
        </w:rPr>
        <w:t xml:space="preserve"> </w:t>
      </w:r>
      <w:r w:rsidR="008A2577" w:rsidRPr="00AF2E43">
        <w:rPr>
          <w:rFonts w:ascii="Arial" w:hAnsi="Arial"/>
        </w:rPr>
        <w:t xml:space="preserve">Also, management should consider spot checking </w:t>
      </w:r>
      <w:r w:rsidR="00DF682A" w:rsidRPr="00AF2E43">
        <w:rPr>
          <w:rFonts w:ascii="Arial" w:hAnsi="Arial"/>
        </w:rPr>
        <w:t>LVOs</w:t>
      </w:r>
      <w:r w:rsidR="008A2577" w:rsidRPr="00AF2E43">
        <w:rPr>
          <w:rFonts w:ascii="Arial" w:hAnsi="Arial"/>
        </w:rPr>
        <w:t xml:space="preserve"> on a periodic basis to determine whether areas</w:t>
      </w:r>
      <w:r w:rsidR="008A2577">
        <w:rPr>
          <w:rFonts w:ascii="Arial" w:hAnsi="Arial"/>
        </w:rPr>
        <w:t xml:space="preserve"> are using LVOs </w:t>
      </w:r>
      <w:r w:rsidR="00FC15C4">
        <w:rPr>
          <w:rFonts w:ascii="Arial" w:hAnsi="Arial"/>
        </w:rPr>
        <w:t>in compliance with U</w:t>
      </w:r>
      <w:r w:rsidR="00FB2FD1">
        <w:rPr>
          <w:rFonts w:ascii="Arial" w:hAnsi="Arial"/>
        </w:rPr>
        <w:t>niversity policies and procedures</w:t>
      </w:r>
      <w:r w:rsidR="008A2577">
        <w:rPr>
          <w:rFonts w:ascii="Arial" w:hAnsi="Arial"/>
        </w:rPr>
        <w:t xml:space="preserve">, and whether additional training </w:t>
      </w:r>
      <w:r w:rsidR="003D1DFF">
        <w:rPr>
          <w:rFonts w:ascii="Arial" w:hAnsi="Arial"/>
        </w:rPr>
        <w:t xml:space="preserve">to those areas </w:t>
      </w:r>
      <w:r w:rsidR="008A2577">
        <w:rPr>
          <w:rFonts w:ascii="Arial" w:hAnsi="Arial"/>
        </w:rPr>
        <w:t>is warranted.</w:t>
      </w:r>
    </w:p>
    <w:p w:rsidR="0025002C" w:rsidRDefault="0025002C" w:rsidP="007C2AC3">
      <w:pPr>
        <w:spacing w:line="360" w:lineRule="auto"/>
        <w:ind w:left="540"/>
        <w:jc w:val="both"/>
        <w:rPr>
          <w:rFonts w:ascii="Arial" w:hAnsi="Arial"/>
        </w:rPr>
      </w:pPr>
    </w:p>
    <w:p w:rsidR="0025002C" w:rsidRDefault="0025002C" w:rsidP="007C2AC3">
      <w:pPr>
        <w:spacing w:line="360" w:lineRule="auto"/>
        <w:ind w:left="540"/>
        <w:jc w:val="both"/>
        <w:rPr>
          <w:rFonts w:ascii="Arial" w:hAnsi="Arial"/>
        </w:rPr>
      </w:pPr>
      <w:r w:rsidRPr="0025002C">
        <w:rPr>
          <w:rFonts w:ascii="Arial" w:hAnsi="Arial"/>
          <w:u w:val="single"/>
        </w:rPr>
        <w:t>Response</w:t>
      </w:r>
      <w:r>
        <w:rPr>
          <w:rFonts w:ascii="Arial" w:hAnsi="Arial"/>
        </w:rPr>
        <w:t>:</w:t>
      </w:r>
      <w:r w:rsidR="004F1385">
        <w:rPr>
          <w:rFonts w:ascii="Arial" w:hAnsi="Arial"/>
        </w:rPr>
        <w:t xml:space="preserve">  The CFO will review best practices with Business Office personnel prior to the start of the Academic School year.  This training will be followed by communication to Luskin faculty and staff.  The Business Office will subsequently conduct periodic “spot checks”, with any questions directed to Campus Purchasing.</w:t>
      </w:r>
      <w:r>
        <w:rPr>
          <w:rFonts w:ascii="Arial" w:hAnsi="Arial"/>
        </w:rPr>
        <w:t xml:space="preserve">  </w:t>
      </w:r>
    </w:p>
    <w:p w:rsidR="0079359C" w:rsidRPr="00715820" w:rsidRDefault="0079359C" w:rsidP="003730F4">
      <w:pPr>
        <w:spacing w:line="360" w:lineRule="auto"/>
        <w:jc w:val="both"/>
        <w:rPr>
          <w:rFonts w:ascii="Arial" w:hAnsi="Arial"/>
        </w:rPr>
      </w:pPr>
    </w:p>
    <w:p w:rsidR="008C0349" w:rsidRPr="006579C1" w:rsidRDefault="00DE6339" w:rsidP="007C2AC3">
      <w:pPr>
        <w:pStyle w:val="ListParagraph"/>
        <w:numPr>
          <w:ilvl w:val="0"/>
          <w:numId w:val="16"/>
        </w:numPr>
        <w:spacing w:line="360" w:lineRule="auto"/>
        <w:ind w:left="540" w:hanging="540"/>
        <w:jc w:val="both"/>
        <w:outlineLvl w:val="2"/>
        <w:rPr>
          <w:rFonts w:ascii="Arial" w:hAnsi="Arial"/>
          <w:u w:val="single"/>
        </w:rPr>
      </w:pPr>
      <w:bookmarkStart w:id="3" w:name="_Toc453765945"/>
      <w:r>
        <w:rPr>
          <w:rFonts w:ascii="Arial" w:hAnsi="Arial"/>
          <w:u w:val="single"/>
        </w:rPr>
        <w:t>Bruin</w:t>
      </w:r>
      <w:r w:rsidR="00964254">
        <w:rPr>
          <w:rFonts w:ascii="Arial" w:hAnsi="Arial"/>
          <w:u w:val="single"/>
        </w:rPr>
        <w:t>Buy Order Input Delay</w:t>
      </w:r>
      <w:bookmarkEnd w:id="3"/>
    </w:p>
    <w:p w:rsidR="009A1339" w:rsidRDefault="009A1339" w:rsidP="003730F4">
      <w:pPr>
        <w:spacing w:line="360" w:lineRule="auto"/>
        <w:jc w:val="both"/>
        <w:rPr>
          <w:rFonts w:ascii="Arial" w:hAnsi="Arial"/>
        </w:rPr>
      </w:pPr>
    </w:p>
    <w:p w:rsidR="00C96D3E" w:rsidRDefault="009A1339" w:rsidP="007C2AC3">
      <w:pPr>
        <w:spacing w:line="360" w:lineRule="auto"/>
        <w:ind w:left="540"/>
        <w:jc w:val="both"/>
        <w:rPr>
          <w:rFonts w:ascii="Arial" w:hAnsi="Arial"/>
        </w:rPr>
      </w:pPr>
      <w:r w:rsidRPr="009A1339">
        <w:rPr>
          <w:rFonts w:ascii="Arial" w:hAnsi="Arial"/>
        </w:rPr>
        <w:t>F</w:t>
      </w:r>
      <w:r w:rsidR="00BD036A">
        <w:rPr>
          <w:rFonts w:ascii="Arial" w:hAnsi="Arial"/>
        </w:rPr>
        <w:t xml:space="preserve">or </w:t>
      </w:r>
      <w:r w:rsidR="00582E06">
        <w:rPr>
          <w:rFonts w:ascii="Arial" w:hAnsi="Arial"/>
        </w:rPr>
        <w:t>24</w:t>
      </w:r>
      <w:r w:rsidR="00997BA9">
        <w:rPr>
          <w:rFonts w:ascii="Arial" w:hAnsi="Arial"/>
        </w:rPr>
        <w:t xml:space="preserve"> out of 50</w:t>
      </w:r>
      <w:r w:rsidR="00254A81">
        <w:rPr>
          <w:rFonts w:ascii="Arial" w:hAnsi="Arial"/>
        </w:rPr>
        <w:t xml:space="preserve"> </w:t>
      </w:r>
      <w:r w:rsidR="006762B6">
        <w:rPr>
          <w:rFonts w:ascii="Arial" w:hAnsi="Arial"/>
        </w:rPr>
        <w:t>sampled transactions</w:t>
      </w:r>
      <w:r w:rsidR="00BD036A">
        <w:rPr>
          <w:rFonts w:ascii="Arial" w:hAnsi="Arial"/>
        </w:rPr>
        <w:t xml:space="preserve">, the order was not </w:t>
      </w:r>
      <w:r w:rsidR="00FA0F0E">
        <w:rPr>
          <w:rFonts w:ascii="Arial" w:hAnsi="Arial"/>
        </w:rPr>
        <w:t>created in Bruin</w:t>
      </w:r>
      <w:r w:rsidR="00BD036A">
        <w:rPr>
          <w:rFonts w:ascii="Arial" w:hAnsi="Arial"/>
        </w:rPr>
        <w:t>Buy until after the event had occurred</w:t>
      </w:r>
      <w:r w:rsidR="00FE570F">
        <w:rPr>
          <w:rFonts w:ascii="Arial" w:hAnsi="Arial"/>
        </w:rPr>
        <w:t xml:space="preserve"> or </w:t>
      </w:r>
      <w:r w:rsidR="00BD036A">
        <w:rPr>
          <w:rFonts w:ascii="Arial" w:hAnsi="Arial"/>
        </w:rPr>
        <w:t>goods and services were provided</w:t>
      </w:r>
      <w:r w:rsidR="00254A81">
        <w:rPr>
          <w:rFonts w:ascii="Arial" w:hAnsi="Arial"/>
        </w:rPr>
        <w:t>, which included</w:t>
      </w:r>
      <w:r w:rsidR="006461A2">
        <w:rPr>
          <w:rFonts w:ascii="Arial" w:hAnsi="Arial"/>
        </w:rPr>
        <w:t xml:space="preserve"> transactions that were processed as</w:t>
      </w:r>
      <w:r w:rsidR="00FC15C4">
        <w:rPr>
          <w:rFonts w:ascii="Arial" w:hAnsi="Arial"/>
        </w:rPr>
        <w:t xml:space="preserve"> LVOs</w:t>
      </w:r>
      <w:r w:rsidR="00254A81">
        <w:rPr>
          <w:rFonts w:ascii="Arial" w:hAnsi="Arial"/>
        </w:rPr>
        <w:t xml:space="preserve">, </w:t>
      </w:r>
      <w:r w:rsidR="006461A2">
        <w:rPr>
          <w:rFonts w:ascii="Arial" w:hAnsi="Arial"/>
        </w:rPr>
        <w:t xml:space="preserve">purchase orders, </w:t>
      </w:r>
      <w:r w:rsidR="0086608A">
        <w:rPr>
          <w:rFonts w:ascii="Arial" w:hAnsi="Arial"/>
        </w:rPr>
        <w:t xml:space="preserve">blanket agreements, </w:t>
      </w:r>
      <w:r w:rsidR="006461A2">
        <w:rPr>
          <w:rFonts w:ascii="Arial" w:hAnsi="Arial"/>
        </w:rPr>
        <w:t>etc.</w:t>
      </w:r>
    </w:p>
    <w:p w:rsidR="00C96D3E" w:rsidRDefault="00C96D3E" w:rsidP="00E84F7D">
      <w:pPr>
        <w:spacing w:line="360" w:lineRule="auto"/>
        <w:ind w:left="360"/>
        <w:jc w:val="both"/>
        <w:rPr>
          <w:rFonts w:ascii="Arial" w:hAnsi="Arial"/>
        </w:rPr>
      </w:pPr>
    </w:p>
    <w:p w:rsidR="002E5A3C" w:rsidRDefault="00E84F7D" w:rsidP="007904C0">
      <w:pPr>
        <w:spacing w:line="360" w:lineRule="auto"/>
        <w:ind w:left="540"/>
        <w:jc w:val="both"/>
        <w:rPr>
          <w:rFonts w:ascii="Arial" w:hAnsi="Arial"/>
        </w:rPr>
      </w:pPr>
      <w:r>
        <w:rPr>
          <w:rFonts w:ascii="Arial" w:hAnsi="Arial"/>
        </w:rPr>
        <w:t>Orders should be established prior to the receipt of goods or delivery of services, in order to confirm the scope of work or exchange of value, and</w:t>
      </w:r>
      <w:r w:rsidR="004878BE">
        <w:rPr>
          <w:rFonts w:ascii="Arial" w:hAnsi="Arial"/>
        </w:rPr>
        <w:t xml:space="preserve"> also to</w:t>
      </w:r>
      <w:r>
        <w:rPr>
          <w:rFonts w:ascii="Arial" w:hAnsi="Arial"/>
        </w:rPr>
        <w:t xml:space="preserve"> record the obligation</w:t>
      </w:r>
      <w:r w:rsidR="00FC15C4">
        <w:rPr>
          <w:rFonts w:ascii="Arial" w:hAnsi="Arial"/>
        </w:rPr>
        <w:t xml:space="preserve"> (as an encumbrance)</w:t>
      </w:r>
      <w:r>
        <w:rPr>
          <w:rFonts w:ascii="Arial" w:hAnsi="Arial"/>
        </w:rPr>
        <w:t xml:space="preserve"> on the University’s financial books.  </w:t>
      </w:r>
      <w:r w:rsidR="00860461">
        <w:rPr>
          <w:rFonts w:ascii="Arial" w:hAnsi="Arial"/>
        </w:rPr>
        <w:t xml:space="preserve">When </w:t>
      </w:r>
      <w:r>
        <w:rPr>
          <w:rFonts w:ascii="Arial" w:hAnsi="Arial"/>
        </w:rPr>
        <w:t xml:space="preserve">an encumbrance </w:t>
      </w:r>
      <w:r w:rsidR="00860461">
        <w:rPr>
          <w:rFonts w:ascii="Arial" w:hAnsi="Arial"/>
        </w:rPr>
        <w:t>is</w:t>
      </w:r>
      <w:r>
        <w:rPr>
          <w:rFonts w:ascii="Arial" w:hAnsi="Arial"/>
        </w:rPr>
        <w:t xml:space="preserve"> not created, </w:t>
      </w:r>
      <w:r w:rsidR="00860461">
        <w:rPr>
          <w:rFonts w:ascii="Arial" w:hAnsi="Arial"/>
        </w:rPr>
        <w:t xml:space="preserve">this </w:t>
      </w:r>
      <w:r>
        <w:rPr>
          <w:rFonts w:ascii="Arial" w:hAnsi="Arial"/>
        </w:rPr>
        <w:t xml:space="preserve">could result in inaccurate decisions when budgeting </w:t>
      </w:r>
      <w:r w:rsidR="00DB4CD5">
        <w:rPr>
          <w:rFonts w:ascii="Arial" w:hAnsi="Arial"/>
        </w:rPr>
        <w:t xml:space="preserve">and allocating </w:t>
      </w:r>
      <w:r>
        <w:rPr>
          <w:rFonts w:ascii="Arial" w:hAnsi="Arial"/>
        </w:rPr>
        <w:t xml:space="preserve">monies.  </w:t>
      </w:r>
      <w:r w:rsidR="007904C0">
        <w:rPr>
          <w:rFonts w:ascii="Arial" w:hAnsi="Arial"/>
        </w:rPr>
        <w:t xml:space="preserve">Also, </w:t>
      </w:r>
      <w:r w:rsidR="007904C0" w:rsidRPr="007904C0">
        <w:rPr>
          <w:rFonts w:ascii="Arial" w:hAnsi="Arial"/>
        </w:rPr>
        <w:t xml:space="preserve">University terms and conditions should be presented to the vendor when the order is placed, </w:t>
      </w:r>
      <w:r w:rsidR="00FA0F0E">
        <w:rPr>
          <w:rFonts w:ascii="Arial" w:hAnsi="Arial"/>
        </w:rPr>
        <w:t>otherwise</w:t>
      </w:r>
      <w:r w:rsidR="007904C0">
        <w:rPr>
          <w:rFonts w:ascii="Arial" w:hAnsi="Arial"/>
        </w:rPr>
        <w:t xml:space="preserve"> </w:t>
      </w:r>
      <w:r w:rsidR="007904C0" w:rsidRPr="007904C0">
        <w:rPr>
          <w:rFonts w:ascii="Arial" w:hAnsi="Arial"/>
        </w:rPr>
        <w:t>the vendor’s terms and conditions may govern the transaction. Vendor terms and conditions may</w:t>
      </w:r>
      <w:r w:rsidR="007904C0">
        <w:rPr>
          <w:rFonts w:ascii="Arial" w:hAnsi="Arial"/>
        </w:rPr>
        <w:t xml:space="preserve"> </w:t>
      </w:r>
      <w:r w:rsidR="007904C0" w:rsidRPr="007904C0">
        <w:rPr>
          <w:rFonts w:ascii="Arial" w:hAnsi="Arial"/>
        </w:rPr>
        <w:t>violate UC policies, may not provide the required protection, or may have onerous business terms.</w:t>
      </w:r>
    </w:p>
    <w:p w:rsidR="002E5A3C" w:rsidRDefault="002E5A3C" w:rsidP="007C2AC3">
      <w:pPr>
        <w:spacing w:line="360" w:lineRule="auto"/>
        <w:ind w:left="540"/>
        <w:jc w:val="both"/>
        <w:rPr>
          <w:rFonts w:ascii="Arial" w:hAnsi="Arial"/>
        </w:rPr>
      </w:pPr>
    </w:p>
    <w:p w:rsidR="002E5A3C" w:rsidRDefault="002E5A3C" w:rsidP="0037670C">
      <w:pPr>
        <w:spacing w:line="360" w:lineRule="auto"/>
        <w:ind w:left="540"/>
        <w:jc w:val="both"/>
        <w:rPr>
          <w:rFonts w:ascii="Arial" w:hAnsi="Arial"/>
        </w:rPr>
      </w:pPr>
      <w:r>
        <w:rPr>
          <w:rFonts w:ascii="Arial" w:hAnsi="Arial"/>
        </w:rPr>
        <w:t xml:space="preserve">For the four items noted below, there </w:t>
      </w:r>
      <w:r w:rsidR="00B95036">
        <w:rPr>
          <w:rFonts w:ascii="Arial" w:hAnsi="Arial"/>
        </w:rPr>
        <w:t xml:space="preserve">also </w:t>
      </w:r>
      <w:r>
        <w:rPr>
          <w:rFonts w:ascii="Arial" w:hAnsi="Arial"/>
        </w:rPr>
        <w:t xml:space="preserve">was a longer payment delay, partly due to </w:t>
      </w:r>
      <w:r w:rsidR="00FA0F0E">
        <w:rPr>
          <w:rFonts w:ascii="Arial" w:hAnsi="Arial"/>
        </w:rPr>
        <w:t>the order being placed in Bruin</w:t>
      </w:r>
      <w:r>
        <w:rPr>
          <w:rFonts w:ascii="Arial" w:hAnsi="Arial"/>
        </w:rPr>
        <w:t>Buy after the event had occurred</w:t>
      </w:r>
      <w:r w:rsidR="00FB2FD1">
        <w:rPr>
          <w:rFonts w:ascii="Arial" w:hAnsi="Arial"/>
        </w:rPr>
        <w:t xml:space="preserve"> or </w:t>
      </w:r>
      <w:r>
        <w:rPr>
          <w:rFonts w:ascii="Arial" w:hAnsi="Arial"/>
        </w:rPr>
        <w:t>goods were received.</w:t>
      </w:r>
    </w:p>
    <w:p w:rsidR="00FC15C4" w:rsidRDefault="00FC15C4" w:rsidP="007C2AC3">
      <w:pPr>
        <w:spacing w:line="360" w:lineRule="auto"/>
        <w:ind w:left="540"/>
        <w:jc w:val="both"/>
        <w:rPr>
          <w:rFonts w:ascii="Arial" w:hAnsi="Arial"/>
        </w:rPr>
      </w:pPr>
    </w:p>
    <w:p w:rsidR="00E84F7D" w:rsidRDefault="002E5A3C" w:rsidP="007C2AC3">
      <w:pPr>
        <w:spacing w:line="360" w:lineRule="auto"/>
        <w:ind w:left="540"/>
        <w:jc w:val="both"/>
        <w:rPr>
          <w:rFonts w:ascii="Arial" w:hAnsi="Arial"/>
        </w:rPr>
      </w:pPr>
      <w:r>
        <w:rPr>
          <w:rFonts w:ascii="Arial" w:hAnsi="Arial"/>
        </w:rPr>
        <w:t>For</w:t>
      </w:r>
      <w:r w:rsidR="00E84F7D">
        <w:rPr>
          <w:rFonts w:ascii="Arial" w:hAnsi="Arial"/>
        </w:rPr>
        <w:t xml:space="preserve"> the first two selections noted be</w:t>
      </w:r>
      <w:r w:rsidR="00FA0F0E">
        <w:rPr>
          <w:rFonts w:ascii="Arial" w:hAnsi="Arial"/>
        </w:rPr>
        <w:t>low, because the order in Bruin</w:t>
      </w:r>
      <w:r w:rsidR="00E84F7D">
        <w:rPr>
          <w:rFonts w:ascii="Arial" w:hAnsi="Arial"/>
        </w:rPr>
        <w:t>Buy was created after the services</w:t>
      </w:r>
      <w:r w:rsidR="00FE570F">
        <w:rPr>
          <w:rFonts w:ascii="Arial" w:hAnsi="Arial"/>
        </w:rPr>
        <w:t xml:space="preserve"> or </w:t>
      </w:r>
      <w:r w:rsidR="00E84F7D">
        <w:rPr>
          <w:rFonts w:ascii="Arial" w:hAnsi="Arial"/>
        </w:rPr>
        <w:t xml:space="preserve">goods were provided, </w:t>
      </w:r>
      <w:r w:rsidR="00FA0F0E">
        <w:rPr>
          <w:rFonts w:ascii="Arial" w:hAnsi="Arial"/>
        </w:rPr>
        <w:t xml:space="preserve">adherence to </w:t>
      </w:r>
      <w:r w:rsidR="00E84F7D">
        <w:rPr>
          <w:rFonts w:ascii="Arial" w:hAnsi="Arial"/>
        </w:rPr>
        <w:t>standard</w:t>
      </w:r>
      <w:r w:rsidR="00E84F7D" w:rsidRPr="00111AB7">
        <w:rPr>
          <w:rFonts w:ascii="Arial" w:hAnsi="Arial"/>
        </w:rPr>
        <w:t xml:space="preserve"> terms and conditions </w:t>
      </w:r>
      <w:r w:rsidR="00E84F7D">
        <w:rPr>
          <w:rFonts w:ascii="Arial" w:hAnsi="Arial"/>
        </w:rPr>
        <w:t xml:space="preserve">that may have </w:t>
      </w:r>
      <w:r w:rsidR="00FA0F0E">
        <w:rPr>
          <w:rFonts w:ascii="Arial" w:hAnsi="Arial"/>
        </w:rPr>
        <w:t xml:space="preserve">been </w:t>
      </w:r>
      <w:r w:rsidR="00053229">
        <w:rPr>
          <w:rFonts w:ascii="Arial" w:hAnsi="Arial"/>
        </w:rPr>
        <w:t>applicable</w:t>
      </w:r>
      <w:r w:rsidR="00E84F7D">
        <w:rPr>
          <w:rFonts w:ascii="Arial" w:hAnsi="Arial"/>
        </w:rPr>
        <w:t xml:space="preserve"> </w:t>
      </w:r>
      <w:r w:rsidR="00E84F7D" w:rsidRPr="00111AB7">
        <w:rPr>
          <w:rFonts w:ascii="Arial" w:hAnsi="Arial"/>
        </w:rPr>
        <w:t>could no</w:t>
      </w:r>
      <w:r w:rsidR="00E84F7D">
        <w:rPr>
          <w:rFonts w:ascii="Arial" w:hAnsi="Arial"/>
        </w:rPr>
        <w:t>t be guaranteed.  As a result, this could result in additional risk exposure to the U</w:t>
      </w:r>
      <w:r w:rsidR="00E84F7D" w:rsidRPr="00111AB7">
        <w:rPr>
          <w:rFonts w:ascii="Arial" w:hAnsi="Arial"/>
        </w:rPr>
        <w:t>niversity</w:t>
      </w:r>
      <w:r w:rsidR="00E84F7D">
        <w:rPr>
          <w:rFonts w:ascii="Arial" w:hAnsi="Arial"/>
        </w:rPr>
        <w:t xml:space="preserve">.  </w:t>
      </w:r>
      <w:r w:rsidR="0052032A">
        <w:rPr>
          <w:rFonts w:ascii="Arial" w:hAnsi="Arial"/>
        </w:rPr>
        <w:t>Furth</w:t>
      </w:r>
      <w:r w:rsidR="00FA0F0E">
        <w:rPr>
          <w:rFonts w:ascii="Arial" w:hAnsi="Arial"/>
        </w:rPr>
        <w:t>er, inputting orders into Bruin</w:t>
      </w:r>
      <w:r w:rsidR="0052032A">
        <w:rPr>
          <w:rFonts w:ascii="Arial" w:hAnsi="Arial"/>
        </w:rPr>
        <w:t>Buy after the invoice date could cause payment delays to the vendor.</w:t>
      </w:r>
      <w:r w:rsidR="00FE570F">
        <w:rPr>
          <w:rFonts w:ascii="Arial" w:hAnsi="Arial"/>
        </w:rPr>
        <w:t xml:space="preserve">  The following w</w:t>
      </w:r>
      <w:r w:rsidR="00FB2FD1">
        <w:rPr>
          <w:rFonts w:ascii="Arial" w:hAnsi="Arial"/>
        </w:rPr>
        <w:t>ere</w:t>
      </w:r>
      <w:r w:rsidR="00FE570F">
        <w:rPr>
          <w:rFonts w:ascii="Arial" w:hAnsi="Arial"/>
        </w:rPr>
        <w:t xml:space="preserve"> noted for each selection:</w:t>
      </w:r>
    </w:p>
    <w:p w:rsidR="009A1339" w:rsidRDefault="009A1339" w:rsidP="00476412">
      <w:pPr>
        <w:spacing w:line="360" w:lineRule="auto"/>
        <w:jc w:val="both"/>
        <w:rPr>
          <w:rFonts w:ascii="Arial" w:hAnsi="Arial"/>
        </w:rPr>
      </w:pPr>
    </w:p>
    <w:p w:rsidR="00111AB7" w:rsidRDefault="009C727F" w:rsidP="007C2AC3">
      <w:pPr>
        <w:pStyle w:val="ListParagraph"/>
        <w:numPr>
          <w:ilvl w:val="0"/>
          <w:numId w:val="17"/>
        </w:numPr>
        <w:spacing w:line="360" w:lineRule="auto"/>
        <w:ind w:left="1080" w:hanging="540"/>
        <w:jc w:val="both"/>
        <w:rPr>
          <w:rFonts w:ascii="Arial" w:hAnsi="Arial"/>
        </w:rPr>
      </w:pPr>
      <w:r w:rsidRPr="009C727F">
        <w:rPr>
          <w:rFonts w:ascii="Arial" w:hAnsi="Arial"/>
        </w:rPr>
        <w:t xml:space="preserve">For </w:t>
      </w:r>
      <w:r w:rsidR="006762B6">
        <w:rPr>
          <w:rFonts w:ascii="Arial" w:hAnsi="Arial"/>
        </w:rPr>
        <w:t>one</w:t>
      </w:r>
      <w:r w:rsidR="000E2AAD">
        <w:rPr>
          <w:rFonts w:ascii="Arial" w:hAnsi="Arial"/>
        </w:rPr>
        <w:t xml:space="preserve"> travel</w:t>
      </w:r>
      <w:r w:rsidR="006762B6">
        <w:rPr>
          <w:rFonts w:ascii="Arial" w:hAnsi="Arial"/>
        </w:rPr>
        <w:t xml:space="preserve"> </w:t>
      </w:r>
      <w:r w:rsidR="00FE570F">
        <w:rPr>
          <w:rFonts w:ascii="Arial" w:hAnsi="Arial"/>
        </w:rPr>
        <w:t>expenditure</w:t>
      </w:r>
      <w:r w:rsidR="00E54038">
        <w:rPr>
          <w:rFonts w:ascii="Arial" w:hAnsi="Arial"/>
        </w:rPr>
        <w:t>,</w:t>
      </w:r>
      <w:r w:rsidR="006244DF">
        <w:rPr>
          <w:rFonts w:ascii="Arial" w:hAnsi="Arial"/>
        </w:rPr>
        <w:t xml:space="preserve"> </w:t>
      </w:r>
      <w:r w:rsidR="00E8168C">
        <w:rPr>
          <w:rFonts w:ascii="Arial" w:hAnsi="Arial"/>
        </w:rPr>
        <w:t>t</w:t>
      </w:r>
      <w:r w:rsidR="00E54038">
        <w:rPr>
          <w:rFonts w:ascii="Arial" w:hAnsi="Arial"/>
        </w:rPr>
        <w:t xml:space="preserve">he invoice date was November 18, 2014, while the </w:t>
      </w:r>
      <w:r w:rsidR="00E8168C" w:rsidRPr="009C727F">
        <w:rPr>
          <w:rFonts w:ascii="Arial" w:hAnsi="Arial"/>
        </w:rPr>
        <w:t>order was</w:t>
      </w:r>
      <w:r w:rsidR="00E8168C">
        <w:rPr>
          <w:rFonts w:ascii="Arial" w:hAnsi="Arial"/>
        </w:rPr>
        <w:t xml:space="preserve"> not</w:t>
      </w:r>
      <w:r w:rsidR="00E8168C" w:rsidRPr="009C727F">
        <w:rPr>
          <w:rFonts w:ascii="Arial" w:hAnsi="Arial"/>
        </w:rPr>
        <w:t xml:space="preserve"> created</w:t>
      </w:r>
      <w:r w:rsidR="00FA0F0E">
        <w:rPr>
          <w:rFonts w:ascii="Arial" w:hAnsi="Arial"/>
        </w:rPr>
        <w:t xml:space="preserve"> in Bruin</w:t>
      </w:r>
      <w:r w:rsidR="00E8168C">
        <w:rPr>
          <w:rFonts w:ascii="Arial" w:hAnsi="Arial"/>
        </w:rPr>
        <w:t xml:space="preserve">Buy until </w:t>
      </w:r>
      <w:r w:rsidR="00BA26D9">
        <w:rPr>
          <w:rFonts w:ascii="Arial" w:hAnsi="Arial"/>
        </w:rPr>
        <w:t>January</w:t>
      </w:r>
      <w:r w:rsidR="00E8168C" w:rsidRPr="009C727F">
        <w:rPr>
          <w:rFonts w:ascii="Arial" w:hAnsi="Arial"/>
        </w:rPr>
        <w:t xml:space="preserve"> 14, 2015</w:t>
      </w:r>
      <w:r w:rsidR="00E8168C">
        <w:rPr>
          <w:rFonts w:ascii="Arial" w:hAnsi="Arial"/>
        </w:rPr>
        <w:t>.  For this selection, there was a 133 calendar day delay between the invoice date and the general ledger’s effective date of payment</w:t>
      </w:r>
      <w:r w:rsidR="0035058C">
        <w:rPr>
          <w:rFonts w:ascii="Arial" w:hAnsi="Arial"/>
        </w:rPr>
        <w:t xml:space="preserve"> (March 31, 2015). </w:t>
      </w:r>
      <w:r w:rsidR="0012283A">
        <w:rPr>
          <w:rFonts w:ascii="Arial" w:hAnsi="Arial"/>
        </w:rPr>
        <w:t xml:space="preserve"> The initial delay was followed by other issues, such as </w:t>
      </w:r>
      <w:r w:rsidR="002F48EF">
        <w:rPr>
          <w:rFonts w:ascii="Arial" w:hAnsi="Arial"/>
        </w:rPr>
        <w:t xml:space="preserve">the </w:t>
      </w:r>
      <w:r w:rsidR="00BB4216">
        <w:rPr>
          <w:rFonts w:ascii="Arial" w:hAnsi="Arial"/>
        </w:rPr>
        <w:t>University holiday timeframe</w:t>
      </w:r>
      <w:r w:rsidR="0012283A">
        <w:rPr>
          <w:rFonts w:ascii="Arial" w:hAnsi="Arial"/>
        </w:rPr>
        <w:t>.</w:t>
      </w:r>
      <w:r w:rsidR="0035058C">
        <w:rPr>
          <w:rFonts w:ascii="Arial" w:hAnsi="Arial"/>
        </w:rPr>
        <w:t xml:space="preserve"> </w:t>
      </w:r>
    </w:p>
    <w:p w:rsidR="000E2AAD" w:rsidRDefault="000E2AAD" w:rsidP="000E2AAD">
      <w:pPr>
        <w:pStyle w:val="ListParagraph"/>
        <w:spacing w:line="360" w:lineRule="auto"/>
        <w:jc w:val="both"/>
        <w:rPr>
          <w:rFonts w:ascii="Arial" w:hAnsi="Arial"/>
        </w:rPr>
      </w:pPr>
    </w:p>
    <w:p w:rsidR="000E2AAD" w:rsidRPr="00282D0B" w:rsidRDefault="000E2AAD" w:rsidP="007C2AC3">
      <w:pPr>
        <w:pStyle w:val="ListParagraph"/>
        <w:numPr>
          <w:ilvl w:val="0"/>
          <w:numId w:val="17"/>
        </w:numPr>
        <w:spacing w:line="360" w:lineRule="auto"/>
        <w:ind w:left="1080" w:hanging="540"/>
        <w:jc w:val="both"/>
        <w:rPr>
          <w:rFonts w:ascii="Arial" w:hAnsi="Arial"/>
        </w:rPr>
      </w:pPr>
      <w:r w:rsidRPr="006762B6">
        <w:rPr>
          <w:rFonts w:ascii="Arial" w:hAnsi="Arial"/>
        </w:rPr>
        <w:t xml:space="preserve">For one </w:t>
      </w:r>
      <w:r>
        <w:rPr>
          <w:rFonts w:ascii="Arial" w:hAnsi="Arial"/>
        </w:rPr>
        <w:t xml:space="preserve">purchase order </w:t>
      </w:r>
      <w:r w:rsidRPr="006762B6">
        <w:rPr>
          <w:rFonts w:ascii="Arial" w:hAnsi="Arial"/>
        </w:rPr>
        <w:t>selection</w:t>
      </w:r>
      <w:r>
        <w:rPr>
          <w:rFonts w:ascii="Arial" w:hAnsi="Arial"/>
        </w:rPr>
        <w:t>, the invoice date was May 13, 20</w:t>
      </w:r>
      <w:r w:rsidRPr="006762B6">
        <w:rPr>
          <w:rFonts w:ascii="Arial" w:hAnsi="Arial"/>
        </w:rPr>
        <w:t xml:space="preserve">15, while </w:t>
      </w:r>
      <w:r>
        <w:rPr>
          <w:rFonts w:ascii="Arial" w:hAnsi="Arial"/>
        </w:rPr>
        <w:t>the</w:t>
      </w:r>
      <w:r w:rsidR="00FA0F0E">
        <w:rPr>
          <w:rFonts w:ascii="Arial" w:hAnsi="Arial"/>
        </w:rPr>
        <w:t xml:space="preserve"> order was not created in Bruin</w:t>
      </w:r>
      <w:r>
        <w:rPr>
          <w:rFonts w:ascii="Arial" w:hAnsi="Arial"/>
        </w:rPr>
        <w:t xml:space="preserve">Buy </w:t>
      </w:r>
      <w:r w:rsidR="00524980">
        <w:rPr>
          <w:rFonts w:ascii="Arial" w:hAnsi="Arial"/>
        </w:rPr>
        <w:t>until</w:t>
      </w:r>
      <w:r>
        <w:rPr>
          <w:rFonts w:ascii="Arial" w:hAnsi="Arial"/>
        </w:rPr>
        <w:t xml:space="preserve"> June 15, 20</w:t>
      </w:r>
      <w:r w:rsidRPr="006762B6">
        <w:rPr>
          <w:rFonts w:ascii="Arial" w:hAnsi="Arial"/>
        </w:rPr>
        <w:t>15</w:t>
      </w:r>
      <w:r>
        <w:rPr>
          <w:rFonts w:ascii="Arial" w:hAnsi="Arial"/>
        </w:rPr>
        <w:t>.  There was a 37 calendar day delay between the invoice date and the effective date</w:t>
      </w:r>
      <w:r w:rsidR="00FE570F">
        <w:rPr>
          <w:rFonts w:ascii="Arial" w:hAnsi="Arial"/>
        </w:rPr>
        <w:t xml:space="preserve"> of payment</w:t>
      </w:r>
      <w:r>
        <w:rPr>
          <w:rFonts w:ascii="Arial" w:hAnsi="Arial"/>
        </w:rPr>
        <w:t xml:space="preserve"> (June 19, 2015)</w:t>
      </w:r>
      <w:r w:rsidRPr="006762B6">
        <w:rPr>
          <w:rFonts w:ascii="Arial" w:hAnsi="Arial"/>
        </w:rPr>
        <w:t>.</w:t>
      </w:r>
      <w:r>
        <w:rPr>
          <w:rFonts w:ascii="Arial" w:hAnsi="Arial"/>
        </w:rPr>
        <w:t xml:space="preserve"> </w:t>
      </w:r>
    </w:p>
    <w:p w:rsidR="005501D2" w:rsidRPr="008A2577" w:rsidRDefault="005501D2" w:rsidP="005501D2">
      <w:pPr>
        <w:pStyle w:val="ListParagraph"/>
        <w:spacing w:line="360" w:lineRule="auto"/>
        <w:jc w:val="both"/>
        <w:rPr>
          <w:rFonts w:ascii="Arial" w:hAnsi="Arial"/>
        </w:rPr>
      </w:pPr>
    </w:p>
    <w:p w:rsidR="007D0B32" w:rsidRDefault="007D0B32" w:rsidP="007C2AC3">
      <w:pPr>
        <w:pStyle w:val="ListParagraph"/>
        <w:numPr>
          <w:ilvl w:val="0"/>
          <w:numId w:val="17"/>
        </w:numPr>
        <w:spacing w:line="360" w:lineRule="auto"/>
        <w:ind w:left="1080" w:hanging="540"/>
        <w:jc w:val="both"/>
        <w:rPr>
          <w:rFonts w:ascii="Arial" w:hAnsi="Arial"/>
        </w:rPr>
      </w:pPr>
      <w:r>
        <w:rPr>
          <w:rFonts w:ascii="Arial" w:hAnsi="Arial"/>
        </w:rPr>
        <w:t xml:space="preserve">For one </w:t>
      </w:r>
      <w:r w:rsidR="000E2AAD">
        <w:rPr>
          <w:rFonts w:ascii="Arial" w:hAnsi="Arial"/>
        </w:rPr>
        <w:t xml:space="preserve">blanket agreement </w:t>
      </w:r>
      <w:r>
        <w:rPr>
          <w:rFonts w:ascii="Arial" w:hAnsi="Arial"/>
        </w:rPr>
        <w:t>selection</w:t>
      </w:r>
      <w:r w:rsidRPr="00E95D29">
        <w:rPr>
          <w:rFonts w:ascii="Arial" w:hAnsi="Arial"/>
        </w:rPr>
        <w:t xml:space="preserve">, </w:t>
      </w:r>
      <w:r w:rsidR="00885793">
        <w:rPr>
          <w:rFonts w:ascii="Arial" w:hAnsi="Arial"/>
        </w:rPr>
        <w:t xml:space="preserve">the invoice date was August 18, 2014, while the order was not created in BruinBuy until December 18, 2014.  </w:t>
      </w:r>
      <w:r w:rsidR="00BB09C8">
        <w:rPr>
          <w:rFonts w:ascii="Arial" w:hAnsi="Arial"/>
        </w:rPr>
        <w:t>T</w:t>
      </w:r>
      <w:r w:rsidRPr="00E95D29">
        <w:rPr>
          <w:rFonts w:ascii="Arial" w:hAnsi="Arial"/>
        </w:rPr>
        <w:t>he</w:t>
      </w:r>
      <w:r>
        <w:rPr>
          <w:rFonts w:ascii="Arial" w:hAnsi="Arial"/>
        </w:rPr>
        <w:t>re was a</w:t>
      </w:r>
      <w:r w:rsidRPr="00E95D29">
        <w:rPr>
          <w:rFonts w:ascii="Arial" w:hAnsi="Arial"/>
        </w:rPr>
        <w:t xml:space="preserve"> 123 </w:t>
      </w:r>
      <w:r>
        <w:rPr>
          <w:rFonts w:ascii="Arial" w:hAnsi="Arial"/>
        </w:rPr>
        <w:t xml:space="preserve">calendar </w:t>
      </w:r>
      <w:r w:rsidRPr="00E95D29">
        <w:rPr>
          <w:rFonts w:ascii="Arial" w:hAnsi="Arial"/>
        </w:rPr>
        <w:t xml:space="preserve">day delay between </w:t>
      </w:r>
      <w:r w:rsidR="00885793">
        <w:rPr>
          <w:rFonts w:ascii="Arial" w:hAnsi="Arial"/>
        </w:rPr>
        <w:t xml:space="preserve">the invoice date </w:t>
      </w:r>
      <w:r w:rsidRPr="00E95D29">
        <w:rPr>
          <w:rFonts w:ascii="Arial" w:hAnsi="Arial"/>
        </w:rPr>
        <w:t>and the effective date</w:t>
      </w:r>
      <w:r w:rsidR="00FE570F">
        <w:rPr>
          <w:rFonts w:ascii="Arial" w:hAnsi="Arial"/>
        </w:rPr>
        <w:t xml:space="preserve"> of payment</w:t>
      </w:r>
      <w:r w:rsidRPr="00E95D29">
        <w:rPr>
          <w:rFonts w:ascii="Arial" w:hAnsi="Arial"/>
        </w:rPr>
        <w:t xml:space="preserve"> (December 19,</w:t>
      </w:r>
      <w:r w:rsidR="00885793">
        <w:rPr>
          <w:rFonts w:ascii="Arial" w:hAnsi="Arial"/>
        </w:rPr>
        <w:t xml:space="preserve"> 2014).  </w:t>
      </w:r>
      <w:r>
        <w:rPr>
          <w:rFonts w:ascii="Arial" w:hAnsi="Arial"/>
        </w:rPr>
        <w:t>The</w:t>
      </w:r>
      <w:r w:rsidRPr="00E95D29">
        <w:rPr>
          <w:rFonts w:ascii="Arial" w:hAnsi="Arial"/>
        </w:rPr>
        <w:t xml:space="preserve"> initial delay was followed by other issues, such as various communications between the department, Purchasing, and Accounts Payable determining which class </w:t>
      </w:r>
      <w:r w:rsidR="00BB4216">
        <w:rPr>
          <w:rFonts w:ascii="Arial" w:hAnsi="Arial"/>
        </w:rPr>
        <w:t xml:space="preserve">order </w:t>
      </w:r>
      <w:r w:rsidR="007D11C8">
        <w:rPr>
          <w:rFonts w:ascii="Arial" w:hAnsi="Arial"/>
        </w:rPr>
        <w:t>to use</w:t>
      </w:r>
      <w:r w:rsidR="00BB4216">
        <w:rPr>
          <w:rFonts w:ascii="Arial" w:hAnsi="Arial"/>
        </w:rPr>
        <w:t xml:space="preserve"> for the purchase. </w:t>
      </w:r>
    </w:p>
    <w:p w:rsidR="00111AB7" w:rsidRDefault="00111AB7" w:rsidP="003730F4">
      <w:pPr>
        <w:spacing w:line="360" w:lineRule="auto"/>
        <w:jc w:val="both"/>
        <w:rPr>
          <w:rFonts w:ascii="Arial" w:hAnsi="Arial"/>
        </w:rPr>
      </w:pPr>
    </w:p>
    <w:p w:rsidR="00304945" w:rsidRPr="00E84F7D" w:rsidRDefault="00111AB7" w:rsidP="007C2AC3">
      <w:pPr>
        <w:pStyle w:val="ListParagraph"/>
        <w:numPr>
          <w:ilvl w:val="0"/>
          <w:numId w:val="17"/>
        </w:numPr>
        <w:spacing w:line="360" w:lineRule="auto"/>
        <w:ind w:left="1080" w:hanging="540"/>
        <w:jc w:val="both"/>
        <w:rPr>
          <w:rFonts w:ascii="Arial" w:hAnsi="Arial"/>
        </w:rPr>
      </w:pPr>
      <w:r w:rsidRPr="006762B6">
        <w:rPr>
          <w:rFonts w:ascii="Arial" w:hAnsi="Arial"/>
        </w:rPr>
        <w:t>For</w:t>
      </w:r>
      <w:r w:rsidR="006762B6">
        <w:rPr>
          <w:rFonts w:ascii="Arial" w:hAnsi="Arial"/>
        </w:rPr>
        <w:t xml:space="preserve"> one </w:t>
      </w:r>
      <w:r w:rsidR="000E2AAD">
        <w:rPr>
          <w:rFonts w:ascii="Arial" w:hAnsi="Arial"/>
        </w:rPr>
        <w:t xml:space="preserve">blanket agreement </w:t>
      </w:r>
      <w:r w:rsidR="006762B6">
        <w:rPr>
          <w:rFonts w:ascii="Arial" w:hAnsi="Arial"/>
        </w:rPr>
        <w:t>selec</w:t>
      </w:r>
      <w:r w:rsidR="001722E2">
        <w:rPr>
          <w:rFonts w:ascii="Arial" w:hAnsi="Arial"/>
        </w:rPr>
        <w:t>ti</w:t>
      </w:r>
      <w:r w:rsidR="006762B6">
        <w:rPr>
          <w:rFonts w:ascii="Arial" w:hAnsi="Arial"/>
        </w:rPr>
        <w:t>on</w:t>
      </w:r>
      <w:r w:rsidRPr="006762B6">
        <w:rPr>
          <w:rFonts w:ascii="Arial" w:hAnsi="Arial"/>
        </w:rPr>
        <w:t xml:space="preserve">, </w:t>
      </w:r>
      <w:r w:rsidR="0035058C">
        <w:rPr>
          <w:rFonts w:ascii="Arial" w:hAnsi="Arial"/>
        </w:rPr>
        <w:t>t</w:t>
      </w:r>
      <w:r w:rsidR="0035058C" w:rsidRPr="006762B6">
        <w:rPr>
          <w:rFonts w:ascii="Arial" w:hAnsi="Arial"/>
        </w:rPr>
        <w:t xml:space="preserve">he invoice date was </w:t>
      </w:r>
      <w:r w:rsidR="0035058C">
        <w:rPr>
          <w:rFonts w:ascii="Arial" w:hAnsi="Arial"/>
        </w:rPr>
        <w:t>April 23, 20</w:t>
      </w:r>
      <w:r w:rsidR="0035058C" w:rsidRPr="006762B6">
        <w:rPr>
          <w:rFonts w:ascii="Arial" w:hAnsi="Arial"/>
        </w:rPr>
        <w:t xml:space="preserve">15, while the order </w:t>
      </w:r>
      <w:r w:rsidR="00BB09C8">
        <w:rPr>
          <w:rFonts w:ascii="Arial" w:hAnsi="Arial"/>
        </w:rPr>
        <w:t>was not created</w:t>
      </w:r>
      <w:r w:rsidR="00053229">
        <w:rPr>
          <w:rFonts w:ascii="Arial" w:hAnsi="Arial"/>
        </w:rPr>
        <w:t xml:space="preserve"> in Bruin</w:t>
      </w:r>
      <w:r w:rsidR="0035058C" w:rsidRPr="006762B6">
        <w:rPr>
          <w:rFonts w:ascii="Arial" w:hAnsi="Arial"/>
        </w:rPr>
        <w:t>Buy</w:t>
      </w:r>
      <w:r w:rsidR="00BB09C8">
        <w:rPr>
          <w:rFonts w:ascii="Arial" w:hAnsi="Arial"/>
        </w:rPr>
        <w:t xml:space="preserve"> until</w:t>
      </w:r>
      <w:r w:rsidR="0035058C" w:rsidRPr="006762B6">
        <w:rPr>
          <w:rFonts w:ascii="Arial" w:hAnsi="Arial"/>
        </w:rPr>
        <w:t xml:space="preserve"> </w:t>
      </w:r>
      <w:r w:rsidR="0035058C">
        <w:rPr>
          <w:rFonts w:ascii="Arial" w:hAnsi="Arial"/>
        </w:rPr>
        <w:t>May 4, 2015.  T</w:t>
      </w:r>
      <w:r w:rsidR="0072484C">
        <w:rPr>
          <w:rFonts w:ascii="Arial" w:hAnsi="Arial"/>
        </w:rPr>
        <w:t xml:space="preserve">here was a </w:t>
      </w:r>
      <w:r w:rsidR="007D0B32">
        <w:rPr>
          <w:rFonts w:ascii="Arial" w:hAnsi="Arial"/>
        </w:rPr>
        <w:t>48</w:t>
      </w:r>
      <w:r w:rsidR="0072484C">
        <w:rPr>
          <w:rFonts w:ascii="Arial" w:hAnsi="Arial"/>
        </w:rPr>
        <w:t xml:space="preserve"> calendar day delay between the invoice date and the </w:t>
      </w:r>
      <w:r w:rsidR="00D16965">
        <w:rPr>
          <w:rFonts w:ascii="Arial" w:hAnsi="Arial"/>
        </w:rPr>
        <w:t xml:space="preserve">effective date </w:t>
      </w:r>
      <w:r w:rsidR="0035058C">
        <w:rPr>
          <w:rFonts w:ascii="Arial" w:hAnsi="Arial"/>
        </w:rPr>
        <w:t>(</w:t>
      </w:r>
      <w:r w:rsidR="00085500">
        <w:rPr>
          <w:rFonts w:ascii="Arial" w:hAnsi="Arial"/>
        </w:rPr>
        <w:t>June 10, 2015</w:t>
      </w:r>
      <w:r w:rsidR="0035058C">
        <w:rPr>
          <w:rFonts w:ascii="Arial" w:hAnsi="Arial"/>
        </w:rPr>
        <w:t>).  For this selection, the</w:t>
      </w:r>
      <w:r w:rsidR="00085500">
        <w:rPr>
          <w:rFonts w:ascii="Arial" w:hAnsi="Arial"/>
        </w:rPr>
        <w:t xml:space="preserve"> delay</w:t>
      </w:r>
      <w:r w:rsidR="0035058C">
        <w:rPr>
          <w:rFonts w:ascii="Arial" w:hAnsi="Arial"/>
        </w:rPr>
        <w:t xml:space="preserve"> was also</w:t>
      </w:r>
      <w:r w:rsidRPr="006762B6">
        <w:rPr>
          <w:rFonts w:ascii="Arial" w:hAnsi="Arial"/>
        </w:rPr>
        <w:t xml:space="preserve"> due to the vendor sending the invoice late. </w:t>
      </w:r>
    </w:p>
    <w:p w:rsidR="006579C1" w:rsidRPr="006579C1" w:rsidRDefault="006579C1" w:rsidP="006579C1">
      <w:pPr>
        <w:spacing w:line="360" w:lineRule="auto"/>
        <w:jc w:val="both"/>
        <w:rPr>
          <w:rFonts w:ascii="Arial" w:hAnsi="Arial"/>
        </w:rPr>
      </w:pPr>
      <w:r w:rsidRPr="006579C1">
        <w:rPr>
          <w:rFonts w:ascii="Arial" w:hAnsi="Arial"/>
        </w:rPr>
        <w:t>  </w:t>
      </w:r>
    </w:p>
    <w:p w:rsidR="0013064F" w:rsidRDefault="00B54B5C" w:rsidP="00FC7165">
      <w:pPr>
        <w:spacing w:line="360" w:lineRule="auto"/>
        <w:ind w:left="540"/>
        <w:jc w:val="both"/>
        <w:rPr>
          <w:rFonts w:ascii="Arial" w:hAnsi="Arial"/>
        </w:rPr>
      </w:pPr>
      <w:r w:rsidRPr="00A5372A">
        <w:rPr>
          <w:rFonts w:ascii="Arial" w:hAnsi="Arial"/>
          <w:u w:val="single"/>
        </w:rPr>
        <w:t>Recommendation</w:t>
      </w:r>
      <w:r w:rsidR="00964254">
        <w:rPr>
          <w:rFonts w:ascii="Arial" w:hAnsi="Arial"/>
        </w:rPr>
        <w:t>:</w:t>
      </w:r>
      <w:r w:rsidR="00FC7165">
        <w:rPr>
          <w:rFonts w:ascii="Arial" w:hAnsi="Arial"/>
        </w:rPr>
        <w:t xml:space="preserve">  </w:t>
      </w:r>
      <w:r w:rsidR="00FC7165" w:rsidRPr="00FC7165">
        <w:rPr>
          <w:rFonts w:ascii="Arial" w:hAnsi="Arial"/>
        </w:rPr>
        <w:t xml:space="preserve">Management should provide regular </w:t>
      </w:r>
      <w:r w:rsidR="00FC7165" w:rsidRPr="00AF2E43">
        <w:rPr>
          <w:rFonts w:ascii="Arial" w:hAnsi="Arial"/>
        </w:rPr>
        <w:t xml:space="preserve">communication to </w:t>
      </w:r>
      <w:r w:rsidR="00784252" w:rsidRPr="00AF2E43">
        <w:rPr>
          <w:rFonts w:ascii="Arial" w:hAnsi="Arial"/>
        </w:rPr>
        <w:t>units</w:t>
      </w:r>
      <w:r w:rsidR="00FC7165" w:rsidRPr="00AF2E43">
        <w:rPr>
          <w:rFonts w:ascii="Arial" w:hAnsi="Arial"/>
        </w:rPr>
        <w:t>,</w:t>
      </w:r>
      <w:r w:rsidR="00FC7165" w:rsidRPr="00FC7165">
        <w:rPr>
          <w:rFonts w:ascii="Arial" w:hAnsi="Arial"/>
        </w:rPr>
        <w:t xml:space="preserve"> to create orders in BruinBuy at the time of commitment and prior to the event taking place or the service being completed, using an estimate or quote from the vendor.  Orders should not be created after the event has occurred</w:t>
      </w:r>
      <w:r w:rsidR="00FC15C4">
        <w:rPr>
          <w:rFonts w:ascii="Arial" w:hAnsi="Arial"/>
        </w:rPr>
        <w:t xml:space="preserve"> or </w:t>
      </w:r>
      <w:r w:rsidR="00FC7165" w:rsidRPr="00FC7165">
        <w:rPr>
          <w:rFonts w:ascii="Arial" w:hAnsi="Arial"/>
        </w:rPr>
        <w:t xml:space="preserve">service has been provided.  </w:t>
      </w:r>
    </w:p>
    <w:p w:rsidR="0013064F" w:rsidRDefault="0013064F" w:rsidP="00FC7165">
      <w:pPr>
        <w:spacing w:line="360" w:lineRule="auto"/>
        <w:ind w:left="540"/>
        <w:jc w:val="both"/>
        <w:rPr>
          <w:rFonts w:ascii="Arial" w:hAnsi="Arial"/>
        </w:rPr>
      </w:pPr>
    </w:p>
    <w:p w:rsidR="0013064F" w:rsidRDefault="00FC7165" w:rsidP="00FC7165">
      <w:pPr>
        <w:spacing w:line="360" w:lineRule="auto"/>
        <w:ind w:left="540"/>
        <w:jc w:val="both"/>
        <w:rPr>
          <w:rFonts w:ascii="Arial" w:hAnsi="Arial"/>
        </w:rPr>
      </w:pPr>
      <w:r w:rsidRPr="00FC7165">
        <w:rPr>
          <w:rFonts w:ascii="Arial" w:hAnsi="Arial"/>
        </w:rPr>
        <w:t>Also, management should consider performing periodic spot checks for purchase transactions, to ensure that orders are creat</w:t>
      </w:r>
      <w:r w:rsidR="0013064F">
        <w:rPr>
          <w:rFonts w:ascii="Arial" w:hAnsi="Arial"/>
        </w:rPr>
        <w:t>ed at the time of commitment.</w:t>
      </w:r>
      <w:r w:rsidR="0070757A">
        <w:rPr>
          <w:rFonts w:ascii="Arial" w:hAnsi="Arial"/>
        </w:rPr>
        <w:t xml:space="preserve">  Providing o</w:t>
      </w:r>
      <w:r w:rsidR="0013064F">
        <w:rPr>
          <w:rFonts w:ascii="Arial" w:hAnsi="Arial"/>
        </w:rPr>
        <w:t>ngoing communication and additional training as nee</w:t>
      </w:r>
      <w:r w:rsidR="0070757A">
        <w:rPr>
          <w:rFonts w:ascii="Arial" w:hAnsi="Arial"/>
        </w:rPr>
        <w:t>ded</w:t>
      </w:r>
      <w:r w:rsidR="00053229">
        <w:rPr>
          <w:rFonts w:ascii="Arial" w:hAnsi="Arial"/>
        </w:rPr>
        <w:t>,</w:t>
      </w:r>
      <w:r w:rsidRPr="00FC7165">
        <w:rPr>
          <w:rFonts w:ascii="Arial" w:hAnsi="Arial"/>
        </w:rPr>
        <w:t xml:space="preserve"> will</w:t>
      </w:r>
      <w:r w:rsidR="00E51AB8" w:rsidRPr="00FC7165">
        <w:rPr>
          <w:rFonts w:ascii="Arial" w:hAnsi="Arial"/>
        </w:rPr>
        <w:t xml:space="preserve"> protect the University</w:t>
      </w:r>
      <w:r w:rsidR="00013655">
        <w:rPr>
          <w:rFonts w:ascii="Arial" w:hAnsi="Arial"/>
        </w:rPr>
        <w:t xml:space="preserve"> by ensuring</w:t>
      </w:r>
      <w:r w:rsidR="00E51AB8" w:rsidRPr="00FC7165">
        <w:rPr>
          <w:rFonts w:ascii="Arial" w:hAnsi="Arial"/>
        </w:rPr>
        <w:t xml:space="preserve"> that the proper te</w:t>
      </w:r>
      <w:r w:rsidR="00E51AB8">
        <w:rPr>
          <w:rFonts w:ascii="Arial" w:hAnsi="Arial"/>
        </w:rPr>
        <w:t>rms and conditions are in place,</w:t>
      </w:r>
      <w:r w:rsidR="00E51AB8" w:rsidRPr="00FC7165">
        <w:rPr>
          <w:rFonts w:ascii="Arial" w:hAnsi="Arial"/>
        </w:rPr>
        <w:t xml:space="preserve"> </w:t>
      </w:r>
      <w:r w:rsidRPr="00FC7165">
        <w:rPr>
          <w:rFonts w:ascii="Arial" w:hAnsi="Arial"/>
        </w:rPr>
        <w:t xml:space="preserve">help to ensure more timely payments to vendors, </w:t>
      </w:r>
      <w:r w:rsidR="00E51AB8">
        <w:rPr>
          <w:rFonts w:ascii="Arial" w:hAnsi="Arial"/>
        </w:rPr>
        <w:t xml:space="preserve">and provide </w:t>
      </w:r>
      <w:r w:rsidRPr="00FC7165">
        <w:rPr>
          <w:rFonts w:ascii="Arial" w:hAnsi="Arial"/>
        </w:rPr>
        <w:t>mo</w:t>
      </w:r>
      <w:r w:rsidR="00E51AB8">
        <w:rPr>
          <w:rFonts w:ascii="Arial" w:hAnsi="Arial"/>
        </w:rPr>
        <w:t>re accurate budgeting data.</w:t>
      </w:r>
    </w:p>
    <w:p w:rsidR="0025002C" w:rsidRDefault="0025002C" w:rsidP="00FC7165">
      <w:pPr>
        <w:spacing w:line="360" w:lineRule="auto"/>
        <w:ind w:left="540"/>
        <w:jc w:val="both"/>
        <w:rPr>
          <w:rFonts w:ascii="Arial" w:hAnsi="Arial"/>
        </w:rPr>
      </w:pPr>
    </w:p>
    <w:p w:rsidR="0025002C" w:rsidRDefault="0025002C" w:rsidP="00FC7165">
      <w:pPr>
        <w:spacing w:line="360" w:lineRule="auto"/>
        <w:ind w:left="540"/>
        <w:jc w:val="both"/>
        <w:rPr>
          <w:rFonts w:ascii="Arial" w:hAnsi="Arial"/>
        </w:rPr>
      </w:pPr>
      <w:r w:rsidRPr="0025002C">
        <w:rPr>
          <w:rFonts w:ascii="Arial" w:hAnsi="Arial"/>
          <w:u w:val="single"/>
        </w:rPr>
        <w:t>Response</w:t>
      </w:r>
      <w:r>
        <w:rPr>
          <w:rFonts w:ascii="Arial" w:hAnsi="Arial"/>
        </w:rPr>
        <w:t>:</w:t>
      </w:r>
      <w:r w:rsidR="004F1385">
        <w:rPr>
          <w:rFonts w:ascii="Arial" w:hAnsi="Arial"/>
        </w:rPr>
        <w:t xml:space="preserve">  The Chief Financial Officer will communicate to key requestors to create orders in BruinBuy at the time of commitment and prior to the event taking place or the service being completed, using an estimate or quote from the vendor.  The Business Office will conduct periodic “spot checks.”</w:t>
      </w:r>
      <w:r>
        <w:rPr>
          <w:rFonts w:ascii="Arial" w:hAnsi="Arial"/>
        </w:rPr>
        <w:t xml:space="preserve">  </w:t>
      </w:r>
    </w:p>
    <w:p w:rsidR="006579C1" w:rsidRDefault="00FC7165" w:rsidP="00FC7165">
      <w:pPr>
        <w:spacing w:line="360" w:lineRule="auto"/>
        <w:ind w:left="540"/>
        <w:jc w:val="both"/>
        <w:rPr>
          <w:rFonts w:ascii="Arial" w:hAnsi="Arial"/>
        </w:rPr>
      </w:pPr>
      <w:r w:rsidRPr="00FC7165">
        <w:rPr>
          <w:rFonts w:ascii="Arial" w:hAnsi="Arial"/>
        </w:rPr>
        <w:t xml:space="preserve"> </w:t>
      </w:r>
    </w:p>
    <w:p w:rsidR="00593B4F" w:rsidRDefault="00593B4F" w:rsidP="00FC7165">
      <w:pPr>
        <w:spacing w:line="360" w:lineRule="auto"/>
        <w:ind w:left="540"/>
        <w:jc w:val="both"/>
        <w:rPr>
          <w:rFonts w:ascii="Arial" w:hAnsi="Arial"/>
        </w:rPr>
      </w:pPr>
    </w:p>
    <w:p w:rsidR="00593B4F" w:rsidRDefault="00593B4F" w:rsidP="00FC7165">
      <w:pPr>
        <w:spacing w:line="360" w:lineRule="auto"/>
        <w:ind w:left="540"/>
        <w:jc w:val="both"/>
        <w:rPr>
          <w:rFonts w:ascii="Arial" w:hAnsi="Arial"/>
        </w:rPr>
      </w:pPr>
    </w:p>
    <w:p w:rsidR="003D2AD7" w:rsidRPr="003D2AD7" w:rsidRDefault="003D2AD7" w:rsidP="0037670C">
      <w:pPr>
        <w:pStyle w:val="ListParagraph"/>
        <w:numPr>
          <w:ilvl w:val="0"/>
          <w:numId w:val="16"/>
        </w:numPr>
        <w:spacing w:line="360" w:lineRule="auto"/>
        <w:ind w:left="540" w:hanging="540"/>
        <w:jc w:val="both"/>
        <w:outlineLvl w:val="2"/>
        <w:rPr>
          <w:rFonts w:ascii="Arial" w:hAnsi="Arial"/>
          <w:u w:val="single"/>
        </w:rPr>
      </w:pPr>
      <w:bookmarkStart w:id="4" w:name="_Toc453765946"/>
      <w:r w:rsidRPr="003D2AD7">
        <w:rPr>
          <w:rFonts w:ascii="Arial" w:hAnsi="Arial"/>
          <w:u w:val="single"/>
        </w:rPr>
        <w:t>Post Authorization Notice (PAN) Review</w:t>
      </w:r>
      <w:bookmarkEnd w:id="4"/>
    </w:p>
    <w:p w:rsidR="009A1339" w:rsidRDefault="009A1339" w:rsidP="009A1339">
      <w:pPr>
        <w:spacing w:line="360" w:lineRule="auto"/>
        <w:jc w:val="both"/>
        <w:rPr>
          <w:rFonts w:ascii="Arial" w:hAnsi="Arial"/>
        </w:rPr>
      </w:pPr>
    </w:p>
    <w:p w:rsidR="00037BCB" w:rsidRDefault="00037BCB" w:rsidP="0037670C">
      <w:pPr>
        <w:spacing w:line="360" w:lineRule="auto"/>
        <w:ind w:left="540"/>
        <w:jc w:val="both"/>
        <w:rPr>
          <w:rFonts w:ascii="Arial" w:hAnsi="Arial"/>
        </w:rPr>
      </w:pPr>
      <w:r>
        <w:rPr>
          <w:rFonts w:ascii="Arial" w:hAnsi="Arial"/>
        </w:rPr>
        <w:t xml:space="preserve">Management reviews PAN aging reports on a monthly basis and provides feedback to individuals who do not read their PANs in a timely manner.  Audit testing indicated that </w:t>
      </w:r>
      <w:r w:rsidR="009A1339" w:rsidRPr="006579C1">
        <w:rPr>
          <w:rFonts w:ascii="Arial" w:hAnsi="Arial"/>
        </w:rPr>
        <w:t xml:space="preserve">PANs were </w:t>
      </w:r>
      <w:r w:rsidR="00F55B1E">
        <w:rPr>
          <w:rFonts w:ascii="Arial" w:hAnsi="Arial"/>
        </w:rPr>
        <w:t>not read in a timely manner by mandatory r</w:t>
      </w:r>
      <w:r w:rsidR="009A1339" w:rsidRPr="006579C1">
        <w:rPr>
          <w:rFonts w:ascii="Arial" w:hAnsi="Arial"/>
        </w:rPr>
        <w:t xml:space="preserve">eviewers for </w:t>
      </w:r>
      <w:r w:rsidR="00F55237">
        <w:rPr>
          <w:rFonts w:ascii="Arial" w:hAnsi="Arial"/>
        </w:rPr>
        <w:t>10</w:t>
      </w:r>
      <w:r w:rsidR="008F7233">
        <w:rPr>
          <w:rFonts w:ascii="Arial" w:hAnsi="Arial"/>
        </w:rPr>
        <w:t xml:space="preserve"> out of 50</w:t>
      </w:r>
      <w:r w:rsidR="009A1339" w:rsidRPr="006579C1">
        <w:rPr>
          <w:rFonts w:ascii="Arial" w:hAnsi="Arial"/>
        </w:rPr>
        <w:t xml:space="preserve"> transactions, </w:t>
      </w:r>
      <w:r w:rsidR="009A1339">
        <w:rPr>
          <w:rFonts w:ascii="Arial" w:hAnsi="Arial"/>
        </w:rPr>
        <w:t xml:space="preserve">ranging from </w:t>
      </w:r>
      <w:r w:rsidR="00FC15C4">
        <w:rPr>
          <w:rFonts w:ascii="Arial" w:hAnsi="Arial"/>
        </w:rPr>
        <w:t>6</w:t>
      </w:r>
      <w:r w:rsidR="009A1339">
        <w:rPr>
          <w:rFonts w:ascii="Arial" w:hAnsi="Arial"/>
        </w:rPr>
        <w:t xml:space="preserve"> to 170 </w:t>
      </w:r>
      <w:r w:rsidR="00AB0C9D">
        <w:rPr>
          <w:rFonts w:ascii="Arial" w:hAnsi="Arial"/>
        </w:rPr>
        <w:t xml:space="preserve">calendar </w:t>
      </w:r>
      <w:r w:rsidR="009A1339">
        <w:rPr>
          <w:rFonts w:ascii="Arial" w:hAnsi="Arial"/>
        </w:rPr>
        <w:t>days.</w:t>
      </w:r>
      <w:r w:rsidR="00321E86">
        <w:rPr>
          <w:rFonts w:ascii="Arial" w:hAnsi="Arial"/>
        </w:rPr>
        <w:t xml:space="preserve"> </w:t>
      </w:r>
      <w:r w:rsidR="00A36B91">
        <w:rPr>
          <w:rFonts w:ascii="Arial" w:hAnsi="Arial"/>
        </w:rPr>
        <w:t xml:space="preserve"> </w:t>
      </w:r>
      <w:r>
        <w:rPr>
          <w:rFonts w:ascii="Arial" w:hAnsi="Arial"/>
        </w:rPr>
        <w:t xml:space="preserve">There were between two and </w:t>
      </w:r>
      <w:r w:rsidR="00053229">
        <w:rPr>
          <w:rFonts w:ascii="Arial" w:hAnsi="Arial"/>
        </w:rPr>
        <w:t>four</w:t>
      </w:r>
      <w:r>
        <w:rPr>
          <w:rFonts w:ascii="Arial" w:hAnsi="Arial"/>
        </w:rPr>
        <w:t xml:space="preserve"> mandatory reviewers for these transactions.</w:t>
      </w:r>
    </w:p>
    <w:p w:rsidR="00037BCB" w:rsidRDefault="00037BCB" w:rsidP="00321E86">
      <w:pPr>
        <w:spacing w:line="360" w:lineRule="auto"/>
        <w:ind w:left="360"/>
        <w:jc w:val="both"/>
        <w:rPr>
          <w:rFonts w:ascii="Arial" w:hAnsi="Arial"/>
        </w:rPr>
      </w:pPr>
    </w:p>
    <w:p w:rsidR="00BA51CA" w:rsidRDefault="005A2110" w:rsidP="0037670C">
      <w:pPr>
        <w:spacing w:line="360" w:lineRule="auto"/>
        <w:ind w:left="540"/>
        <w:jc w:val="both"/>
        <w:rPr>
          <w:rFonts w:ascii="Arial" w:hAnsi="Arial"/>
        </w:rPr>
      </w:pPr>
      <w:r>
        <w:rPr>
          <w:rFonts w:ascii="Arial" w:hAnsi="Arial"/>
        </w:rPr>
        <w:t>According to</w:t>
      </w:r>
      <w:r w:rsidR="00BA51CA">
        <w:rPr>
          <w:rFonts w:ascii="Arial" w:hAnsi="Arial"/>
        </w:rPr>
        <w:t xml:space="preserve"> UCLA Financial Poli</w:t>
      </w:r>
      <w:r>
        <w:rPr>
          <w:rFonts w:ascii="Arial" w:hAnsi="Arial"/>
        </w:rPr>
        <w:t>cy, section III.F, “A reviewer must review all transactions within two working days of receipt.”</w:t>
      </w:r>
      <w:r w:rsidR="000C290E">
        <w:rPr>
          <w:rFonts w:ascii="Arial" w:hAnsi="Arial"/>
        </w:rPr>
        <w:t xml:space="preserve">  Timely review of PANs </w:t>
      </w:r>
      <w:r w:rsidR="000C290E" w:rsidRPr="008F7233">
        <w:rPr>
          <w:rFonts w:ascii="Arial" w:hAnsi="Arial"/>
        </w:rPr>
        <w:t>help</w:t>
      </w:r>
      <w:r w:rsidR="000C290E">
        <w:rPr>
          <w:rFonts w:ascii="Arial" w:hAnsi="Arial"/>
        </w:rPr>
        <w:t>s</w:t>
      </w:r>
      <w:r w:rsidR="000C290E" w:rsidRPr="008F7233">
        <w:rPr>
          <w:rFonts w:ascii="Arial" w:hAnsi="Arial"/>
        </w:rPr>
        <w:t xml:space="preserve"> to ensure that all related financial activities are appropriate and adhere to University policies and procedures.</w:t>
      </w:r>
    </w:p>
    <w:p w:rsidR="004A6982" w:rsidRDefault="004A6982" w:rsidP="009A1339">
      <w:pPr>
        <w:spacing w:line="360" w:lineRule="auto"/>
        <w:ind w:left="360"/>
        <w:jc w:val="both"/>
        <w:rPr>
          <w:rFonts w:ascii="Arial" w:hAnsi="Arial"/>
        </w:rPr>
      </w:pPr>
    </w:p>
    <w:p w:rsidR="00B92B8D" w:rsidRDefault="004A6982" w:rsidP="004D1F04">
      <w:pPr>
        <w:pStyle w:val="BodyText"/>
        <w:ind w:left="540"/>
      </w:pPr>
      <w:r w:rsidRPr="003203BF">
        <w:rPr>
          <w:u w:val="single"/>
        </w:rPr>
        <w:t>Recommendation</w:t>
      </w:r>
      <w:r>
        <w:t>:</w:t>
      </w:r>
      <w:r w:rsidR="00792A2F">
        <w:t xml:space="preserve"> </w:t>
      </w:r>
      <w:r w:rsidR="00792A2F" w:rsidRPr="00297454">
        <w:t xml:space="preserve"> Management should consider </w:t>
      </w:r>
      <w:r w:rsidR="00BA6A37" w:rsidRPr="0037670C">
        <w:t xml:space="preserve">revising the </w:t>
      </w:r>
      <w:r w:rsidR="00A36B91" w:rsidRPr="0037670C">
        <w:t>mandatory review structure</w:t>
      </w:r>
      <w:r w:rsidR="00BA6A37" w:rsidRPr="0037670C">
        <w:t xml:space="preserve"> for </w:t>
      </w:r>
      <w:r w:rsidR="00297454" w:rsidRPr="0037670C">
        <w:t xml:space="preserve">transactions </w:t>
      </w:r>
      <w:r w:rsidR="00BA6A37" w:rsidRPr="0037670C">
        <w:t>that have more than two mandatory reviewers.</w:t>
      </w:r>
      <w:r w:rsidR="00AF5459" w:rsidRPr="0037670C">
        <w:t xml:space="preserve">  This would include </w:t>
      </w:r>
      <w:r w:rsidR="009451B6" w:rsidRPr="0037670C">
        <w:t xml:space="preserve">potentially </w:t>
      </w:r>
      <w:r w:rsidR="00AF5459" w:rsidRPr="0037670C">
        <w:t>reducing the number of mandatory reviewers</w:t>
      </w:r>
      <w:r w:rsidR="00D22A8C" w:rsidRPr="0037670C">
        <w:t>,</w:t>
      </w:r>
      <w:r w:rsidR="00AC1D2D" w:rsidRPr="0037670C">
        <w:t xml:space="preserve"> shifting these responsibilities to other individuals</w:t>
      </w:r>
      <w:r w:rsidR="00AF5459" w:rsidRPr="0037670C">
        <w:t xml:space="preserve"> for certain types of </w:t>
      </w:r>
      <w:r w:rsidR="00297454">
        <w:t>transactions</w:t>
      </w:r>
      <w:r w:rsidR="00B92B8D">
        <w:t>, or changing a mandatory reviewer’s status to become a non-mandatory reviewer instead.</w:t>
      </w:r>
    </w:p>
    <w:p w:rsidR="0025002C" w:rsidRDefault="0025002C" w:rsidP="004D1F04">
      <w:pPr>
        <w:pStyle w:val="BodyText"/>
        <w:ind w:left="540"/>
      </w:pPr>
    </w:p>
    <w:p w:rsidR="0025002C" w:rsidRDefault="0025002C" w:rsidP="004D1F04">
      <w:pPr>
        <w:pStyle w:val="BodyText"/>
        <w:ind w:left="540"/>
      </w:pPr>
      <w:r w:rsidRPr="0025002C">
        <w:rPr>
          <w:u w:val="single"/>
        </w:rPr>
        <w:t>Response</w:t>
      </w:r>
      <w:r>
        <w:t>:</w:t>
      </w:r>
      <w:r w:rsidR="004F1385">
        <w:t xml:space="preserve">  The Chief Administrative Officer will continue to conduct monthly audits and transition any staff with repeat issues to non-mandatory reviewer status.</w:t>
      </w:r>
      <w:r>
        <w:t xml:space="preserve">  </w:t>
      </w:r>
    </w:p>
    <w:p w:rsidR="003D2AD7" w:rsidRDefault="003D2AD7" w:rsidP="00AF2E43">
      <w:pPr>
        <w:spacing w:line="360" w:lineRule="auto"/>
        <w:ind w:left="540"/>
        <w:jc w:val="both"/>
        <w:rPr>
          <w:rFonts w:ascii="Arial" w:hAnsi="Arial"/>
        </w:rPr>
      </w:pPr>
    </w:p>
    <w:p w:rsidR="006A6E8B" w:rsidRPr="003863E0" w:rsidRDefault="006A6E8B" w:rsidP="0037670C">
      <w:pPr>
        <w:pStyle w:val="Heading2"/>
        <w:spacing w:before="0" w:line="360" w:lineRule="auto"/>
        <w:jc w:val="center"/>
        <w:rPr>
          <w:rFonts w:ascii="Arial" w:hAnsi="Arial"/>
          <w:b w:val="0"/>
          <w:sz w:val="24"/>
          <w:szCs w:val="24"/>
          <w:u w:val="single"/>
        </w:rPr>
      </w:pPr>
      <w:bookmarkStart w:id="5" w:name="_Toc453765947"/>
      <w:r w:rsidRPr="003863E0">
        <w:rPr>
          <w:rFonts w:ascii="Arial" w:hAnsi="Arial"/>
          <w:b w:val="0"/>
          <w:color w:val="auto"/>
          <w:sz w:val="24"/>
          <w:szCs w:val="24"/>
          <w:u w:val="single"/>
        </w:rPr>
        <w:t>Conflict of Interest</w:t>
      </w:r>
      <w:bookmarkEnd w:id="5"/>
    </w:p>
    <w:p w:rsidR="006A6E8B" w:rsidRPr="003F36BA" w:rsidRDefault="006A6E8B" w:rsidP="0037670C">
      <w:pPr>
        <w:spacing w:line="360" w:lineRule="auto"/>
        <w:jc w:val="center"/>
        <w:rPr>
          <w:rFonts w:ascii="Arial" w:hAnsi="Arial"/>
          <w:u w:val="single"/>
        </w:rPr>
      </w:pPr>
    </w:p>
    <w:p w:rsidR="00511B53" w:rsidRPr="00511B53" w:rsidRDefault="00C45189" w:rsidP="0037670C">
      <w:pPr>
        <w:spacing w:line="360" w:lineRule="auto"/>
        <w:jc w:val="both"/>
        <w:rPr>
          <w:rFonts w:ascii="Arial" w:hAnsi="Arial"/>
        </w:rPr>
      </w:pPr>
      <w:r>
        <w:rPr>
          <w:rFonts w:ascii="Arial" w:hAnsi="Arial"/>
        </w:rPr>
        <w:t xml:space="preserve">Audit review </w:t>
      </w:r>
      <w:r w:rsidR="006310E2">
        <w:rPr>
          <w:rFonts w:ascii="Arial" w:hAnsi="Arial"/>
        </w:rPr>
        <w:t>encompassed</w:t>
      </w:r>
      <w:r>
        <w:rPr>
          <w:rFonts w:ascii="Arial" w:hAnsi="Arial"/>
        </w:rPr>
        <w:t xml:space="preserve"> </w:t>
      </w:r>
      <w:r w:rsidR="006310E2" w:rsidRPr="00AF2E43">
        <w:rPr>
          <w:rFonts w:ascii="Arial" w:hAnsi="Arial"/>
        </w:rPr>
        <w:t xml:space="preserve">reviewing the </w:t>
      </w:r>
      <w:r w:rsidR="00494FCD" w:rsidRPr="00AF2E43">
        <w:rPr>
          <w:rFonts w:ascii="Arial" w:hAnsi="Arial"/>
        </w:rPr>
        <w:t>School</w:t>
      </w:r>
      <w:r w:rsidR="006310E2" w:rsidRPr="00AF2E43">
        <w:rPr>
          <w:rFonts w:ascii="Arial" w:hAnsi="Arial"/>
        </w:rPr>
        <w:t>’s</w:t>
      </w:r>
      <w:r w:rsidR="006310E2">
        <w:rPr>
          <w:rFonts w:ascii="Arial" w:hAnsi="Arial"/>
        </w:rPr>
        <w:t xml:space="preserve"> process</w:t>
      </w:r>
      <w:r w:rsidR="003F5A75">
        <w:rPr>
          <w:rFonts w:ascii="Arial" w:hAnsi="Arial"/>
        </w:rPr>
        <w:t>es</w:t>
      </w:r>
      <w:r w:rsidR="006310E2">
        <w:rPr>
          <w:rFonts w:ascii="Arial" w:hAnsi="Arial"/>
        </w:rPr>
        <w:t xml:space="preserve"> to</w:t>
      </w:r>
      <w:r w:rsidRPr="00C45189">
        <w:rPr>
          <w:rFonts w:ascii="Arial" w:hAnsi="Arial"/>
        </w:rPr>
        <w:t xml:space="preserve"> manage conflict of</w:t>
      </w:r>
      <w:r>
        <w:rPr>
          <w:rFonts w:ascii="Arial" w:hAnsi="Arial"/>
        </w:rPr>
        <w:t xml:space="preserve"> interests, and included </w:t>
      </w:r>
      <w:r w:rsidR="00C96D3E">
        <w:rPr>
          <w:rFonts w:ascii="Arial" w:hAnsi="Arial"/>
        </w:rPr>
        <w:t>analyzing</w:t>
      </w:r>
      <w:r>
        <w:rPr>
          <w:rFonts w:ascii="Arial" w:hAnsi="Arial"/>
        </w:rPr>
        <w:t xml:space="preserve"> nine </w:t>
      </w:r>
      <w:r w:rsidR="004245E7" w:rsidRPr="004245E7">
        <w:rPr>
          <w:rFonts w:ascii="Arial" w:hAnsi="Arial"/>
        </w:rPr>
        <w:t>sampled</w:t>
      </w:r>
      <w:r w:rsidR="00DB6CBE">
        <w:rPr>
          <w:rFonts w:ascii="Arial" w:hAnsi="Arial"/>
        </w:rPr>
        <w:t xml:space="preserve"> items.  </w:t>
      </w:r>
      <w:r w:rsidR="00511B53">
        <w:rPr>
          <w:rFonts w:ascii="Arial" w:hAnsi="Arial"/>
        </w:rPr>
        <w:t>A</w:t>
      </w:r>
      <w:r w:rsidR="00511B53" w:rsidRPr="00511B53">
        <w:rPr>
          <w:rFonts w:ascii="Arial" w:hAnsi="Arial"/>
        </w:rPr>
        <w:t xml:space="preserve"> standard confl</w:t>
      </w:r>
      <w:r w:rsidR="00320895">
        <w:rPr>
          <w:rFonts w:ascii="Arial" w:hAnsi="Arial"/>
        </w:rPr>
        <w:t xml:space="preserve">ict of interest (COI) form </w:t>
      </w:r>
      <w:r w:rsidR="00511B53" w:rsidRPr="00511B53">
        <w:rPr>
          <w:rFonts w:ascii="Arial" w:hAnsi="Arial"/>
        </w:rPr>
        <w:t>is required by the Academic Personn</w:t>
      </w:r>
      <w:r w:rsidR="00511B53">
        <w:rPr>
          <w:rFonts w:ascii="Arial" w:hAnsi="Arial"/>
        </w:rPr>
        <w:t xml:space="preserve">el Office (APO) </w:t>
      </w:r>
      <w:r w:rsidR="00320895">
        <w:rPr>
          <w:rFonts w:ascii="Arial" w:hAnsi="Arial"/>
        </w:rPr>
        <w:t>to be completed by</w:t>
      </w:r>
      <w:r w:rsidR="00511B53" w:rsidRPr="00511B53">
        <w:rPr>
          <w:rFonts w:ascii="Arial" w:hAnsi="Arial"/>
        </w:rPr>
        <w:t xml:space="preserve"> faculty</w:t>
      </w:r>
      <w:r w:rsidR="00320895">
        <w:rPr>
          <w:rFonts w:ascii="Arial" w:hAnsi="Arial"/>
        </w:rPr>
        <w:t>,</w:t>
      </w:r>
      <w:r w:rsidR="00511B53" w:rsidRPr="00511B53">
        <w:rPr>
          <w:rFonts w:ascii="Arial" w:hAnsi="Arial"/>
        </w:rPr>
        <w:t xml:space="preserve"> to disclose any outside activities</w:t>
      </w:r>
      <w:r w:rsidR="00511B53">
        <w:rPr>
          <w:rFonts w:ascii="Arial" w:hAnsi="Arial"/>
        </w:rPr>
        <w:t xml:space="preserve">, and requires a list of </w:t>
      </w:r>
      <w:r w:rsidR="00511B53" w:rsidRPr="00511B53">
        <w:rPr>
          <w:rFonts w:ascii="Arial" w:hAnsi="Arial"/>
        </w:rPr>
        <w:t>spouses</w:t>
      </w:r>
      <w:r w:rsidR="003F5A75">
        <w:rPr>
          <w:rFonts w:ascii="Arial" w:hAnsi="Arial"/>
        </w:rPr>
        <w:t xml:space="preserve"> or </w:t>
      </w:r>
      <w:r w:rsidR="00511B53" w:rsidRPr="00511B53">
        <w:rPr>
          <w:rFonts w:ascii="Arial" w:hAnsi="Arial"/>
        </w:rPr>
        <w:t xml:space="preserve">near relatives.  </w:t>
      </w:r>
      <w:r w:rsidR="007B731A">
        <w:rPr>
          <w:rFonts w:ascii="Arial" w:hAnsi="Arial"/>
        </w:rPr>
        <w:t>Also, t</w:t>
      </w:r>
      <w:r w:rsidR="007B731A" w:rsidRPr="00511B53">
        <w:rPr>
          <w:rFonts w:ascii="Arial" w:hAnsi="Arial"/>
        </w:rPr>
        <w:t>he Office of Contract and Grant Administration (OCGA) requires COI forms to be completed by the Princip</w:t>
      </w:r>
      <w:r w:rsidR="00FB2FD1">
        <w:rPr>
          <w:rFonts w:ascii="Arial" w:hAnsi="Arial"/>
        </w:rPr>
        <w:t>al</w:t>
      </w:r>
      <w:r w:rsidR="007B731A" w:rsidRPr="00511B53">
        <w:rPr>
          <w:rFonts w:ascii="Arial" w:hAnsi="Arial"/>
        </w:rPr>
        <w:t xml:space="preserve"> Investi</w:t>
      </w:r>
      <w:r w:rsidR="007B731A">
        <w:rPr>
          <w:rFonts w:ascii="Arial" w:hAnsi="Arial"/>
        </w:rPr>
        <w:t>gator (PI) and key personnel</w:t>
      </w:r>
      <w:r w:rsidR="003F5A75">
        <w:rPr>
          <w:rFonts w:ascii="Arial" w:hAnsi="Arial"/>
        </w:rPr>
        <w:t xml:space="preserve"> when sponsored projects funds are used</w:t>
      </w:r>
      <w:r w:rsidR="007B731A">
        <w:rPr>
          <w:rFonts w:ascii="Arial" w:hAnsi="Arial"/>
        </w:rPr>
        <w:t>.  V</w:t>
      </w:r>
      <w:r w:rsidR="00511B53" w:rsidRPr="00511B53">
        <w:rPr>
          <w:rFonts w:ascii="Arial" w:hAnsi="Arial"/>
        </w:rPr>
        <w:t xml:space="preserve">endors </w:t>
      </w:r>
      <w:r w:rsidR="00743B4E">
        <w:rPr>
          <w:rFonts w:ascii="Arial" w:hAnsi="Arial"/>
        </w:rPr>
        <w:t>must</w:t>
      </w:r>
      <w:r w:rsidR="00511B53" w:rsidRPr="00511B53">
        <w:rPr>
          <w:rFonts w:ascii="Arial" w:hAnsi="Arial"/>
        </w:rPr>
        <w:t xml:space="preserve"> disclose </w:t>
      </w:r>
      <w:r w:rsidR="00511B53">
        <w:rPr>
          <w:rFonts w:ascii="Arial" w:hAnsi="Arial"/>
        </w:rPr>
        <w:t>their federal tax ID</w:t>
      </w:r>
      <w:r w:rsidR="007B731A">
        <w:rPr>
          <w:rFonts w:ascii="Arial" w:hAnsi="Arial"/>
        </w:rPr>
        <w:t xml:space="preserve"> as well</w:t>
      </w:r>
      <w:r w:rsidR="00511B53">
        <w:rPr>
          <w:rFonts w:ascii="Arial" w:hAnsi="Arial"/>
        </w:rPr>
        <w:t xml:space="preserve">.  </w:t>
      </w:r>
    </w:p>
    <w:p w:rsidR="00511B53" w:rsidRDefault="00511B53" w:rsidP="004245E7">
      <w:pPr>
        <w:spacing w:line="360" w:lineRule="auto"/>
        <w:jc w:val="both"/>
        <w:rPr>
          <w:rFonts w:ascii="Arial" w:hAnsi="Arial"/>
        </w:rPr>
      </w:pPr>
    </w:p>
    <w:p w:rsidR="00511B53" w:rsidRDefault="003F5A75" w:rsidP="00511B53">
      <w:pPr>
        <w:spacing w:line="360" w:lineRule="auto"/>
        <w:jc w:val="both"/>
        <w:rPr>
          <w:rFonts w:ascii="Arial" w:hAnsi="Arial"/>
        </w:rPr>
      </w:pPr>
      <w:r>
        <w:rPr>
          <w:rFonts w:ascii="Arial" w:hAnsi="Arial"/>
        </w:rPr>
        <w:t xml:space="preserve">In six instances, review of the transactions indicated there did not appear to be any conflict of interests.  </w:t>
      </w:r>
      <w:r w:rsidR="00C45189">
        <w:rPr>
          <w:rFonts w:ascii="Arial" w:hAnsi="Arial"/>
        </w:rPr>
        <w:t>For</w:t>
      </w:r>
      <w:r w:rsidR="004245E7" w:rsidRPr="004245E7">
        <w:rPr>
          <w:rFonts w:ascii="Arial" w:hAnsi="Arial"/>
        </w:rPr>
        <w:t xml:space="preserve"> three </w:t>
      </w:r>
      <w:r w:rsidR="00B86E1B">
        <w:rPr>
          <w:rFonts w:ascii="Arial" w:hAnsi="Arial"/>
        </w:rPr>
        <w:t>sampled items</w:t>
      </w:r>
      <w:r w:rsidR="00C45189">
        <w:rPr>
          <w:rFonts w:ascii="Arial" w:hAnsi="Arial"/>
        </w:rPr>
        <w:t>,</w:t>
      </w:r>
      <w:r w:rsidR="00DB6CBE">
        <w:rPr>
          <w:rFonts w:ascii="Arial" w:hAnsi="Arial"/>
        </w:rPr>
        <w:t xml:space="preserve"> the following</w:t>
      </w:r>
      <w:r>
        <w:rPr>
          <w:rFonts w:ascii="Arial" w:hAnsi="Arial"/>
        </w:rPr>
        <w:t xml:space="preserve"> potential </w:t>
      </w:r>
      <w:r w:rsidR="00F2019B">
        <w:rPr>
          <w:rFonts w:ascii="Arial" w:hAnsi="Arial"/>
        </w:rPr>
        <w:t>conflicts of interests were</w:t>
      </w:r>
      <w:r w:rsidR="00DB6CBE">
        <w:rPr>
          <w:rFonts w:ascii="Arial" w:hAnsi="Arial"/>
        </w:rPr>
        <w:t xml:space="preserve"> noted:</w:t>
      </w:r>
      <w:r w:rsidR="004245E7" w:rsidRPr="004245E7">
        <w:rPr>
          <w:rFonts w:ascii="Arial" w:hAnsi="Arial"/>
        </w:rPr>
        <w:t> </w:t>
      </w:r>
      <w:r w:rsidR="00511B53">
        <w:rPr>
          <w:rFonts w:ascii="Arial" w:hAnsi="Arial"/>
        </w:rPr>
        <w:t xml:space="preserve"> </w:t>
      </w:r>
    </w:p>
    <w:p w:rsidR="005B2FE0" w:rsidRDefault="005B2FE0" w:rsidP="00511B53">
      <w:pPr>
        <w:spacing w:line="360" w:lineRule="auto"/>
        <w:jc w:val="both"/>
        <w:rPr>
          <w:rFonts w:ascii="Arial" w:hAnsi="Arial"/>
        </w:rPr>
      </w:pPr>
    </w:p>
    <w:p w:rsidR="005B2FE0" w:rsidRDefault="005B2FE0" w:rsidP="0037670C">
      <w:pPr>
        <w:pStyle w:val="ListParagraph"/>
        <w:numPr>
          <w:ilvl w:val="0"/>
          <w:numId w:val="25"/>
        </w:numPr>
        <w:spacing w:line="360" w:lineRule="auto"/>
        <w:ind w:left="540" w:hanging="540"/>
        <w:jc w:val="both"/>
        <w:rPr>
          <w:rFonts w:ascii="Arial" w:hAnsi="Arial"/>
        </w:rPr>
      </w:pPr>
      <w:r w:rsidRPr="005B2FE0">
        <w:rPr>
          <w:rFonts w:ascii="Arial" w:hAnsi="Arial"/>
        </w:rPr>
        <w:t>For one selectio</w:t>
      </w:r>
      <w:r w:rsidR="00232412">
        <w:rPr>
          <w:rFonts w:ascii="Arial" w:hAnsi="Arial"/>
        </w:rPr>
        <w:t>n,</w:t>
      </w:r>
      <w:r w:rsidRPr="005B2FE0">
        <w:rPr>
          <w:rFonts w:ascii="Arial" w:hAnsi="Arial"/>
        </w:rPr>
        <w:t xml:space="preserve"> the vendor was the employee’s husband, a graphic designer</w:t>
      </w:r>
      <w:r w:rsidR="00F03290">
        <w:rPr>
          <w:rFonts w:ascii="Arial" w:hAnsi="Arial"/>
        </w:rPr>
        <w:t>,</w:t>
      </w:r>
      <w:r w:rsidRPr="005B2FE0">
        <w:rPr>
          <w:rFonts w:ascii="Arial" w:hAnsi="Arial"/>
        </w:rPr>
        <w:t xml:space="preserve"> who </w:t>
      </w:r>
      <w:r w:rsidR="00986F3E">
        <w:rPr>
          <w:rFonts w:ascii="Arial" w:hAnsi="Arial"/>
        </w:rPr>
        <w:t>performed website work related to a project</w:t>
      </w:r>
      <w:r w:rsidR="0037670C">
        <w:rPr>
          <w:rFonts w:ascii="Arial" w:hAnsi="Arial"/>
        </w:rPr>
        <w:t xml:space="preserve">.  </w:t>
      </w:r>
    </w:p>
    <w:p w:rsidR="005B2FE0" w:rsidRDefault="005B2FE0" w:rsidP="005B2FE0">
      <w:pPr>
        <w:pStyle w:val="ListParagraph"/>
        <w:spacing w:line="360" w:lineRule="auto"/>
        <w:ind w:left="360"/>
        <w:jc w:val="both"/>
        <w:rPr>
          <w:rFonts w:ascii="Arial" w:hAnsi="Arial"/>
        </w:rPr>
      </w:pPr>
    </w:p>
    <w:p w:rsidR="005B2FE0" w:rsidRDefault="005B2FE0" w:rsidP="00AF2E43">
      <w:pPr>
        <w:pStyle w:val="ListParagraph"/>
        <w:numPr>
          <w:ilvl w:val="0"/>
          <w:numId w:val="25"/>
        </w:numPr>
        <w:spacing w:line="360" w:lineRule="auto"/>
        <w:ind w:left="540" w:hanging="540"/>
        <w:jc w:val="both"/>
        <w:rPr>
          <w:rFonts w:ascii="Arial" w:hAnsi="Arial"/>
        </w:rPr>
      </w:pPr>
      <w:r w:rsidRPr="005B2FE0">
        <w:rPr>
          <w:rFonts w:ascii="Arial" w:hAnsi="Arial"/>
        </w:rPr>
        <w:t>For one selection</w:t>
      </w:r>
      <w:r w:rsidR="00232412">
        <w:rPr>
          <w:rFonts w:ascii="Arial" w:hAnsi="Arial"/>
        </w:rPr>
        <w:t>,</w:t>
      </w:r>
      <w:r w:rsidRPr="005B2FE0">
        <w:rPr>
          <w:rFonts w:ascii="Arial" w:hAnsi="Arial"/>
        </w:rPr>
        <w:t xml:space="preserve"> the vendor,</w:t>
      </w:r>
      <w:r w:rsidR="00BA1B6D">
        <w:rPr>
          <w:rFonts w:ascii="Arial" w:hAnsi="Arial"/>
        </w:rPr>
        <w:t xml:space="preserve"> who was paid as a consultant, wa</w:t>
      </w:r>
      <w:r w:rsidRPr="005B2FE0">
        <w:rPr>
          <w:rFonts w:ascii="Arial" w:hAnsi="Arial"/>
        </w:rPr>
        <w:t>s the cu</w:t>
      </w:r>
      <w:r w:rsidR="00BA1B6D">
        <w:rPr>
          <w:rFonts w:ascii="Arial" w:hAnsi="Arial"/>
        </w:rPr>
        <w:t xml:space="preserve">rrent partner of the employee. </w:t>
      </w:r>
      <w:r w:rsidRPr="005B2FE0">
        <w:rPr>
          <w:rFonts w:ascii="Arial" w:hAnsi="Arial"/>
        </w:rPr>
        <w:t xml:space="preserve">  </w:t>
      </w:r>
    </w:p>
    <w:p w:rsidR="005B2FE0" w:rsidRPr="005B2FE0" w:rsidRDefault="005B2FE0" w:rsidP="005B2FE0">
      <w:pPr>
        <w:pStyle w:val="ListParagraph"/>
        <w:rPr>
          <w:rFonts w:ascii="Arial" w:hAnsi="Arial"/>
        </w:rPr>
      </w:pPr>
    </w:p>
    <w:p w:rsidR="005B2FE0" w:rsidRPr="005B2FE0" w:rsidRDefault="005B2FE0" w:rsidP="00AF2E43">
      <w:pPr>
        <w:pStyle w:val="ListParagraph"/>
        <w:numPr>
          <w:ilvl w:val="0"/>
          <w:numId w:val="25"/>
        </w:numPr>
        <w:spacing w:line="360" w:lineRule="auto"/>
        <w:ind w:left="540" w:hanging="540"/>
        <w:jc w:val="both"/>
        <w:rPr>
          <w:rFonts w:ascii="Arial" w:hAnsi="Arial"/>
        </w:rPr>
      </w:pPr>
      <w:r w:rsidRPr="005B2FE0">
        <w:rPr>
          <w:rFonts w:ascii="Arial" w:hAnsi="Arial"/>
        </w:rPr>
        <w:t xml:space="preserve">For one selection, a spouse of an emeriti faculty with no salary </w:t>
      </w:r>
      <w:r w:rsidR="00F2019B" w:rsidRPr="005B2FE0">
        <w:rPr>
          <w:rFonts w:ascii="Arial" w:hAnsi="Arial"/>
        </w:rPr>
        <w:t>appointment</w:t>
      </w:r>
      <w:r w:rsidRPr="005B2FE0">
        <w:rPr>
          <w:rFonts w:ascii="Arial" w:hAnsi="Arial"/>
        </w:rPr>
        <w:t xml:space="preserve"> was paid for research services performed for a project. </w:t>
      </w:r>
    </w:p>
    <w:p w:rsidR="00D44C86" w:rsidRDefault="00D44C86" w:rsidP="00511B53">
      <w:pPr>
        <w:spacing w:line="360" w:lineRule="auto"/>
        <w:jc w:val="both"/>
        <w:rPr>
          <w:rFonts w:ascii="Arial" w:hAnsi="Arial"/>
        </w:rPr>
      </w:pPr>
    </w:p>
    <w:p w:rsidR="007041F7" w:rsidRDefault="007041F7" w:rsidP="00511B53">
      <w:pPr>
        <w:spacing w:line="360" w:lineRule="auto"/>
        <w:jc w:val="both"/>
        <w:rPr>
          <w:rFonts w:ascii="Arial" w:hAnsi="Arial"/>
        </w:rPr>
      </w:pPr>
      <w:r w:rsidRPr="007041F7">
        <w:rPr>
          <w:rFonts w:ascii="Arial" w:hAnsi="Arial"/>
        </w:rPr>
        <w:t>Due to the older natu</w:t>
      </w:r>
      <w:r>
        <w:rPr>
          <w:rFonts w:ascii="Arial" w:hAnsi="Arial"/>
        </w:rPr>
        <w:t>re of when these items occurred,</w:t>
      </w:r>
      <w:r w:rsidRPr="007041F7">
        <w:rPr>
          <w:rFonts w:ascii="Arial" w:hAnsi="Arial"/>
        </w:rPr>
        <w:t xml:space="preserve"> it is unclear if the proper document</w:t>
      </w:r>
      <w:r w:rsidR="003006CF">
        <w:rPr>
          <w:rFonts w:ascii="Arial" w:hAnsi="Arial"/>
        </w:rPr>
        <w:t xml:space="preserve">ation was </w:t>
      </w:r>
      <w:r w:rsidR="00F03290">
        <w:rPr>
          <w:rFonts w:ascii="Arial" w:hAnsi="Arial"/>
        </w:rPr>
        <w:t>completed;</w:t>
      </w:r>
      <w:r w:rsidR="008E3881">
        <w:rPr>
          <w:rFonts w:ascii="Arial" w:hAnsi="Arial"/>
        </w:rPr>
        <w:t xml:space="preserve"> including disclosure of these potential conflicts </w:t>
      </w:r>
      <w:r w:rsidR="008E3881" w:rsidRPr="008E3881">
        <w:rPr>
          <w:rFonts w:ascii="Arial" w:hAnsi="Arial"/>
        </w:rPr>
        <w:t>before payments were made to the vendor</w:t>
      </w:r>
      <w:r w:rsidR="00D81A85">
        <w:rPr>
          <w:rFonts w:ascii="Arial" w:hAnsi="Arial"/>
        </w:rPr>
        <w:t>.</w:t>
      </w:r>
    </w:p>
    <w:p w:rsidR="003F5A75" w:rsidRDefault="003F5A75" w:rsidP="00F02495">
      <w:pPr>
        <w:spacing w:line="360" w:lineRule="auto"/>
        <w:jc w:val="both"/>
        <w:rPr>
          <w:rFonts w:ascii="Arial" w:hAnsi="Arial"/>
        </w:rPr>
      </w:pPr>
    </w:p>
    <w:p w:rsidR="00D44C86" w:rsidRDefault="00D44C86" w:rsidP="00F02495">
      <w:pPr>
        <w:spacing w:line="360" w:lineRule="auto"/>
        <w:jc w:val="both"/>
        <w:rPr>
          <w:rFonts w:ascii="Arial" w:hAnsi="Arial"/>
        </w:rPr>
      </w:pPr>
      <w:r>
        <w:rPr>
          <w:rFonts w:ascii="Arial" w:hAnsi="Arial"/>
        </w:rPr>
        <w:t xml:space="preserve">According to BUS-43, Materiel Management, Section IV. Compliance/Responsibilities, Part 5, Employee-Vendor Relationships, B.3c, “Near Relative - </w:t>
      </w:r>
      <w:r w:rsidRPr="00D44C86">
        <w:rPr>
          <w:rFonts w:ascii="Arial" w:hAnsi="Arial"/>
        </w:rPr>
        <w:t xml:space="preserve">The University may </w:t>
      </w:r>
      <w:r>
        <w:rPr>
          <w:rFonts w:ascii="Arial" w:hAnsi="Arial"/>
        </w:rPr>
        <w:t xml:space="preserve">purchase or lease goods from or </w:t>
      </w:r>
      <w:r w:rsidRPr="00D44C86">
        <w:rPr>
          <w:rFonts w:ascii="Arial" w:hAnsi="Arial"/>
        </w:rPr>
        <w:t>contract for services with the near rel</w:t>
      </w:r>
      <w:r>
        <w:rPr>
          <w:rFonts w:ascii="Arial" w:hAnsi="Arial"/>
        </w:rPr>
        <w:t xml:space="preserve">ative of any employee, provided </w:t>
      </w:r>
      <w:r w:rsidRPr="00D44C86">
        <w:rPr>
          <w:rFonts w:ascii="Arial" w:hAnsi="Arial"/>
        </w:rPr>
        <w:t xml:space="preserve">that the Materiel Manager </w:t>
      </w:r>
      <w:r>
        <w:rPr>
          <w:rFonts w:ascii="Arial" w:hAnsi="Arial"/>
        </w:rPr>
        <w:t xml:space="preserve">or designee has made a specific </w:t>
      </w:r>
      <w:r w:rsidRPr="00D44C86">
        <w:rPr>
          <w:rFonts w:ascii="Arial" w:hAnsi="Arial"/>
        </w:rPr>
        <w:t>determination that the goods and services are not available either from</w:t>
      </w:r>
      <w:r>
        <w:rPr>
          <w:rFonts w:ascii="Arial" w:hAnsi="Arial"/>
        </w:rPr>
        <w:t xml:space="preserve"> </w:t>
      </w:r>
      <w:r w:rsidRPr="00D44C86">
        <w:rPr>
          <w:rFonts w:ascii="Arial" w:hAnsi="Arial"/>
        </w:rPr>
        <w:t>commercial sources or from within the University of California.</w:t>
      </w:r>
      <w:r w:rsidR="0054216F">
        <w:rPr>
          <w:rFonts w:ascii="Arial" w:hAnsi="Arial"/>
        </w:rPr>
        <w:t>”</w:t>
      </w:r>
    </w:p>
    <w:p w:rsidR="004245E7" w:rsidRPr="004245E7" w:rsidRDefault="004245E7" w:rsidP="004245E7">
      <w:pPr>
        <w:spacing w:line="360" w:lineRule="auto"/>
        <w:jc w:val="both"/>
        <w:rPr>
          <w:rFonts w:ascii="Arial" w:hAnsi="Arial"/>
        </w:rPr>
      </w:pPr>
    </w:p>
    <w:p w:rsidR="0025002C" w:rsidRDefault="004245E7" w:rsidP="004245E7">
      <w:pPr>
        <w:spacing w:line="360" w:lineRule="auto"/>
        <w:jc w:val="both"/>
        <w:rPr>
          <w:rFonts w:ascii="Arial" w:hAnsi="Arial"/>
        </w:rPr>
      </w:pPr>
      <w:r w:rsidRPr="004245E7">
        <w:rPr>
          <w:rFonts w:ascii="Arial" w:hAnsi="Arial"/>
          <w:u w:val="single"/>
        </w:rPr>
        <w:t>Recommendation</w:t>
      </w:r>
      <w:r>
        <w:rPr>
          <w:rFonts w:ascii="Arial" w:hAnsi="Arial"/>
        </w:rPr>
        <w:t>:</w:t>
      </w:r>
      <w:r w:rsidR="00D33738">
        <w:rPr>
          <w:rFonts w:ascii="Arial" w:hAnsi="Arial"/>
        </w:rPr>
        <w:t xml:space="preserve">  </w:t>
      </w:r>
      <w:r w:rsidR="00412198">
        <w:rPr>
          <w:rFonts w:ascii="Arial" w:hAnsi="Arial"/>
        </w:rPr>
        <w:t>The Dean</w:t>
      </w:r>
      <w:r w:rsidR="00D33738">
        <w:rPr>
          <w:rFonts w:ascii="Arial" w:hAnsi="Arial"/>
        </w:rPr>
        <w:t xml:space="preserve"> </w:t>
      </w:r>
      <w:r w:rsidR="00412198">
        <w:rPr>
          <w:rFonts w:ascii="Arial" w:hAnsi="Arial"/>
        </w:rPr>
        <w:t>should</w:t>
      </w:r>
      <w:r w:rsidR="00D33738">
        <w:rPr>
          <w:rFonts w:ascii="Arial" w:hAnsi="Arial"/>
        </w:rPr>
        <w:t xml:space="preserve"> </w:t>
      </w:r>
      <w:r w:rsidRPr="004245E7">
        <w:rPr>
          <w:rFonts w:ascii="Arial" w:hAnsi="Arial"/>
        </w:rPr>
        <w:t xml:space="preserve">remind </w:t>
      </w:r>
      <w:r w:rsidR="00412198">
        <w:rPr>
          <w:rFonts w:ascii="Arial" w:hAnsi="Arial"/>
        </w:rPr>
        <w:t xml:space="preserve">faculty and staff </w:t>
      </w:r>
      <w:r w:rsidRPr="004245E7">
        <w:rPr>
          <w:rFonts w:ascii="Arial" w:hAnsi="Arial"/>
        </w:rPr>
        <w:t xml:space="preserve">of the need to properly disclose any potential conflicts of interest.  </w:t>
      </w:r>
      <w:r w:rsidR="002C1A1D">
        <w:rPr>
          <w:rFonts w:ascii="Arial" w:hAnsi="Arial"/>
        </w:rPr>
        <w:t xml:space="preserve">This includes completing the </w:t>
      </w:r>
      <w:r w:rsidR="002C1A1D" w:rsidRPr="002C1A1D">
        <w:rPr>
          <w:rFonts w:ascii="Arial" w:hAnsi="Arial"/>
        </w:rPr>
        <w:t>"Request for Approval of Proposed Purchasing Involving Possible Conflict of Interest"</w:t>
      </w:r>
      <w:r w:rsidR="002C1A1D">
        <w:rPr>
          <w:rFonts w:ascii="Arial" w:hAnsi="Arial"/>
        </w:rPr>
        <w:t xml:space="preserve"> </w:t>
      </w:r>
      <w:r w:rsidR="002C1A1D" w:rsidRPr="002C1A1D">
        <w:rPr>
          <w:rFonts w:ascii="Arial" w:hAnsi="Arial"/>
        </w:rPr>
        <w:t>form</w:t>
      </w:r>
      <w:r w:rsidR="001A3AF8">
        <w:rPr>
          <w:rFonts w:ascii="Arial" w:hAnsi="Arial"/>
        </w:rPr>
        <w:t xml:space="preserve"> and coordinating with campus Purchasing</w:t>
      </w:r>
      <w:r w:rsidR="002C1A1D">
        <w:rPr>
          <w:rFonts w:ascii="Arial" w:hAnsi="Arial"/>
        </w:rPr>
        <w:t xml:space="preserve"> when any potential conflict</w:t>
      </w:r>
      <w:r w:rsidR="00D33738">
        <w:rPr>
          <w:rFonts w:ascii="Arial" w:hAnsi="Arial"/>
        </w:rPr>
        <w:t>s</w:t>
      </w:r>
      <w:r w:rsidR="002C1A1D">
        <w:rPr>
          <w:rFonts w:ascii="Arial" w:hAnsi="Arial"/>
        </w:rPr>
        <w:t xml:space="preserve"> exist.  </w:t>
      </w:r>
    </w:p>
    <w:p w:rsidR="004245E7" w:rsidRDefault="0025002C" w:rsidP="004245E7">
      <w:pPr>
        <w:spacing w:line="360" w:lineRule="auto"/>
        <w:jc w:val="both"/>
        <w:rPr>
          <w:rFonts w:ascii="Arial" w:hAnsi="Arial"/>
        </w:rPr>
      </w:pPr>
      <w:r w:rsidRPr="0025002C">
        <w:rPr>
          <w:rFonts w:ascii="Arial" w:hAnsi="Arial"/>
          <w:u w:val="single"/>
        </w:rPr>
        <w:t>Response</w:t>
      </w:r>
      <w:r>
        <w:rPr>
          <w:rFonts w:ascii="Arial" w:hAnsi="Arial"/>
        </w:rPr>
        <w:t>:</w:t>
      </w:r>
      <w:r w:rsidR="004F1385">
        <w:rPr>
          <w:rFonts w:ascii="Arial" w:hAnsi="Arial"/>
        </w:rPr>
        <w:t xml:space="preserve">  The Dean will communicate the need to properly disclose any conflicts of interest to faculty at the start of the Fall Quarter of the Academic Year. </w:t>
      </w:r>
      <w:r>
        <w:rPr>
          <w:rFonts w:ascii="Arial" w:hAnsi="Arial"/>
        </w:rPr>
        <w:t xml:space="preserve">  </w:t>
      </w:r>
    </w:p>
    <w:p w:rsidR="00593B4F" w:rsidRPr="00E9220C" w:rsidRDefault="00593B4F" w:rsidP="004245E7">
      <w:pPr>
        <w:spacing w:line="360" w:lineRule="auto"/>
        <w:jc w:val="both"/>
        <w:rPr>
          <w:rFonts w:ascii="Arial" w:hAnsi="Arial"/>
        </w:rPr>
      </w:pPr>
    </w:p>
    <w:p w:rsidR="00075650" w:rsidRPr="0015166D" w:rsidRDefault="00FA78B3" w:rsidP="0037670C">
      <w:pPr>
        <w:pStyle w:val="Heading2"/>
        <w:spacing w:before="0" w:line="360" w:lineRule="auto"/>
        <w:jc w:val="center"/>
        <w:rPr>
          <w:rFonts w:ascii="Arial" w:hAnsi="Arial"/>
          <w:b w:val="0"/>
          <w:color w:val="auto"/>
          <w:sz w:val="24"/>
          <w:szCs w:val="24"/>
          <w:u w:val="single"/>
        </w:rPr>
      </w:pPr>
      <w:bookmarkStart w:id="6" w:name="_Toc453765948"/>
      <w:r w:rsidRPr="0015166D">
        <w:rPr>
          <w:rFonts w:ascii="Arial" w:hAnsi="Arial"/>
          <w:b w:val="0"/>
          <w:color w:val="auto"/>
          <w:sz w:val="24"/>
          <w:szCs w:val="24"/>
          <w:u w:val="single"/>
        </w:rPr>
        <w:t>Information Systems</w:t>
      </w:r>
      <w:bookmarkEnd w:id="6"/>
    </w:p>
    <w:p w:rsidR="00E473AB" w:rsidRPr="00E473AB" w:rsidRDefault="00E473AB" w:rsidP="0037670C">
      <w:pPr>
        <w:spacing w:line="360" w:lineRule="auto"/>
        <w:rPr>
          <w:rFonts w:ascii="Arial" w:hAnsi="Arial"/>
        </w:rPr>
      </w:pPr>
    </w:p>
    <w:p w:rsidR="001F7EBE" w:rsidRPr="00E473AB" w:rsidRDefault="00E473AB" w:rsidP="0037670C">
      <w:pPr>
        <w:spacing w:line="360" w:lineRule="auto"/>
        <w:jc w:val="both"/>
        <w:rPr>
          <w:rFonts w:ascii="Arial" w:hAnsi="Arial"/>
        </w:rPr>
      </w:pPr>
      <w:r w:rsidRPr="00E473AB">
        <w:rPr>
          <w:rFonts w:ascii="Arial" w:hAnsi="Arial"/>
        </w:rPr>
        <w:t>Audit rev</w:t>
      </w:r>
      <w:r>
        <w:rPr>
          <w:rFonts w:ascii="Arial" w:hAnsi="Arial"/>
        </w:rPr>
        <w:t>iew included interviews with management and a tour of the</w:t>
      </w:r>
      <w:r w:rsidR="001A3AF8">
        <w:rPr>
          <w:rFonts w:ascii="Arial" w:hAnsi="Arial"/>
        </w:rPr>
        <w:t xml:space="preserve"> Luskin</w:t>
      </w:r>
      <w:r>
        <w:rPr>
          <w:rFonts w:ascii="Arial" w:hAnsi="Arial"/>
        </w:rPr>
        <w:t xml:space="preserve"> server room.  </w:t>
      </w:r>
      <w:r w:rsidR="001F7EBE">
        <w:rPr>
          <w:rFonts w:ascii="Arial" w:hAnsi="Arial"/>
        </w:rPr>
        <w:t xml:space="preserve">Areas of focus included determining whether the </w:t>
      </w:r>
      <w:r w:rsidR="00494FCD">
        <w:rPr>
          <w:rFonts w:ascii="Arial" w:hAnsi="Arial"/>
        </w:rPr>
        <w:t>School</w:t>
      </w:r>
      <w:r w:rsidR="001F7EBE">
        <w:rPr>
          <w:rFonts w:ascii="Arial" w:hAnsi="Arial"/>
        </w:rPr>
        <w:t xml:space="preserve"> retains </w:t>
      </w:r>
      <w:r w:rsidR="0014075B">
        <w:rPr>
          <w:rFonts w:ascii="Arial" w:hAnsi="Arial"/>
        </w:rPr>
        <w:t xml:space="preserve">PII data, and reviewing controls over superusers, physical security, and technical controls.  </w:t>
      </w:r>
      <w:r w:rsidR="001F7EBE">
        <w:rPr>
          <w:rFonts w:ascii="Arial" w:hAnsi="Arial"/>
        </w:rPr>
        <w:t>Concerns regarding</w:t>
      </w:r>
      <w:r w:rsidR="00E75F22">
        <w:rPr>
          <w:rFonts w:ascii="Arial" w:hAnsi="Arial"/>
        </w:rPr>
        <w:t xml:space="preserve"> </w:t>
      </w:r>
      <w:r w:rsidR="0099272E">
        <w:rPr>
          <w:rFonts w:ascii="Arial" w:hAnsi="Arial"/>
        </w:rPr>
        <w:t xml:space="preserve">PII </w:t>
      </w:r>
      <w:r w:rsidR="001F7EBE">
        <w:rPr>
          <w:rFonts w:ascii="Arial" w:hAnsi="Arial"/>
        </w:rPr>
        <w:t>data and superuser reviews are noted below.</w:t>
      </w:r>
    </w:p>
    <w:p w:rsidR="00E473AB" w:rsidRPr="003F36BA" w:rsidRDefault="00E473AB" w:rsidP="00E473AB">
      <w:pPr>
        <w:spacing w:line="360" w:lineRule="auto"/>
        <w:jc w:val="center"/>
        <w:rPr>
          <w:rFonts w:ascii="Arial" w:hAnsi="Arial"/>
          <w:u w:val="single"/>
        </w:rPr>
      </w:pPr>
    </w:p>
    <w:p w:rsidR="00E933C8" w:rsidRPr="00BB1157" w:rsidRDefault="00E933C8" w:rsidP="0037670C">
      <w:pPr>
        <w:pStyle w:val="ListParagraph"/>
        <w:numPr>
          <w:ilvl w:val="0"/>
          <w:numId w:val="11"/>
        </w:numPr>
        <w:spacing w:line="360" w:lineRule="auto"/>
        <w:ind w:left="540" w:hanging="540"/>
        <w:jc w:val="both"/>
        <w:outlineLvl w:val="2"/>
        <w:rPr>
          <w:rFonts w:ascii="Arial" w:hAnsi="Arial"/>
          <w:u w:val="single"/>
        </w:rPr>
      </w:pPr>
      <w:bookmarkStart w:id="7" w:name="_Toc453765949"/>
      <w:r w:rsidRPr="00BB1157">
        <w:rPr>
          <w:rFonts w:ascii="Arial" w:hAnsi="Arial"/>
          <w:u w:val="single"/>
        </w:rPr>
        <w:t xml:space="preserve">Personally Identifiable Information (PII) </w:t>
      </w:r>
      <w:r w:rsidR="00914E6E">
        <w:rPr>
          <w:rFonts w:ascii="Arial" w:hAnsi="Arial"/>
          <w:u w:val="single"/>
        </w:rPr>
        <w:t>Data</w:t>
      </w:r>
      <w:bookmarkEnd w:id="7"/>
    </w:p>
    <w:p w:rsidR="00E933C8" w:rsidRPr="00E933C8" w:rsidRDefault="00E933C8" w:rsidP="00E933C8">
      <w:pPr>
        <w:pStyle w:val="ListParagraph"/>
        <w:spacing w:line="360" w:lineRule="auto"/>
        <w:ind w:left="360"/>
        <w:jc w:val="both"/>
        <w:rPr>
          <w:rFonts w:ascii="Arial" w:hAnsi="Arial"/>
          <w:u w:val="single"/>
        </w:rPr>
      </w:pPr>
    </w:p>
    <w:p w:rsidR="00682801" w:rsidRDefault="00AA3C95" w:rsidP="0037670C">
      <w:pPr>
        <w:spacing w:line="360" w:lineRule="auto"/>
        <w:ind w:left="540"/>
        <w:jc w:val="both"/>
        <w:rPr>
          <w:rFonts w:ascii="Arial" w:hAnsi="Arial"/>
        </w:rPr>
      </w:pPr>
      <w:r>
        <w:rPr>
          <w:rFonts w:ascii="Arial" w:hAnsi="Arial"/>
        </w:rPr>
        <w:t xml:space="preserve">During the audit, </w:t>
      </w:r>
      <w:r w:rsidR="00075650" w:rsidRPr="00075650">
        <w:rPr>
          <w:rFonts w:ascii="Arial" w:hAnsi="Arial"/>
        </w:rPr>
        <w:t xml:space="preserve">Luskin </w:t>
      </w:r>
      <w:r w:rsidR="00440544">
        <w:rPr>
          <w:rFonts w:ascii="Arial" w:hAnsi="Arial"/>
        </w:rPr>
        <w:t>Information Technology (</w:t>
      </w:r>
      <w:r w:rsidR="00075650" w:rsidRPr="00075650">
        <w:rPr>
          <w:rFonts w:ascii="Arial" w:hAnsi="Arial"/>
        </w:rPr>
        <w:t>IT</w:t>
      </w:r>
      <w:r w:rsidR="00440544">
        <w:rPr>
          <w:rFonts w:ascii="Arial" w:hAnsi="Arial"/>
        </w:rPr>
        <w:t>)</w:t>
      </w:r>
      <w:r w:rsidR="00075650" w:rsidRPr="00075650">
        <w:rPr>
          <w:rFonts w:ascii="Arial" w:hAnsi="Arial"/>
        </w:rPr>
        <w:t xml:space="preserve"> m</w:t>
      </w:r>
      <w:r w:rsidR="00914E6E">
        <w:rPr>
          <w:rFonts w:ascii="Arial" w:hAnsi="Arial"/>
        </w:rPr>
        <w:t>anagement conducted a survey to determine which areas retain PII</w:t>
      </w:r>
      <w:r w:rsidR="0018126E">
        <w:rPr>
          <w:rFonts w:ascii="Arial" w:hAnsi="Arial"/>
        </w:rPr>
        <w:t xml:space="preserve"> data</w:t>
      </w:r>
      <w:r w:rsidR="00914E6E">
        <w:rPr>
          <w:rFonts w:ascii="Arial" w:hAnsi="Arial"/>
        </w:rPr>
        <w:t>.  A</w:t>
      </w:r>
      <w:r w:rsidR="00075650" w:rsidRPr="00075650">
        <w:rPr>
          <w:rFonts w:ascii="Arial" w:hAnsi="Arial"/>
        </w:rPr>
        <w:t xml:space="preserve">pproximately 43 faculty members and 70 staff members across the Urban Planning department, Social Welfare department, Public Policy department, </w:t>
      </w:r>
      <w:r w:rsidR="00A825FB">
        <w:rPr>
          <w:rFonts w:ascii="Arial" w:hAnsi="Arial"/>
        </w:rPr>
        <w:t xml:space="preserve">and </w:t>
      </w:r>
      <w:r w:rsidR="00075650" w:rsidRPr="00075650">
        <w:rPr>
          <w:rFonts w:ascii="Arial" w:hAnsi="Arial"/>
        </w:rPr>
        <w:t>Dean's Office</w:t>
      </w:r>
      <w:r w:rsidR="00914E6E">
        <w:rPr>
          <w:rFonts w:ascii="Arial" w:hAnsi="Arial"/>
        </w:rPr>
        <w:t xml:space="preserve"> were surveyed</w:t>
      </w:r>
      <w:r w:rsidR="00075650" w:rsidRPr="00075650">
        <w:rPr>
          <w:rFonts w:ascii="Arial" w:hAnsi="Arial"/>
        </w:rPr>
        <w:t xml:space="preserve">.  Of </w:t>
      </w:r>
      <w:r w:rsidR="00914E6E">
        <w:rPr>
          <w:rFonts w:ascii="Arial" w:hAnsi="Arial"/>
        </w:rPr>
        <w:t xml:space="preserve">the 113 individuals </w:t>
      </w:r>
      <w:r w:rsidR="00075650" w:rsidRPr="00075650">
        <w:rPr>
          <w:rFonts w:ascii="Arial" w:hAnsi="Arial"/>
        </w:rPr>
        <w:t>surveyed,</w:t>
      </w:r>
      <w:r w:rsidR="00682801">
        <w:rPr>
          <w:rFonts w:ascii="Arial" w:hAnsi="Arial"/>
        </w:rPr>
        <w:t xml:space="preserve"> </w:t>
      </w:r>
      <w:r w:rsidR="00075650" w:rsidRPr="00075650">
        <w:rPr>
          <w:rFonts w:ascii="Arial" w:hAnsi="Arial"/>
        </w:rPr>
        <w:t xml:space="preserve">approximately </w:t>
      </w:r>
      <w:r w:rsidR="00D524B8">
        <w:rPr>
          <w:rFonts w:ascii="Arial" w:hAnsi="Arial"/>
        </w:rPr>
        <w:t>69 responses were received (61% response rate)</w:t>
      </w:r>
      <w:r w:rsidR="00075650" w:rsidRPr="00075650">
        <w:rPr>
          <w:rFonts w:ascii="Arial" w:hAnsi="Arial"/>
        </w:rPr>
        <w:t>.  The results were as follows:</w:t>
      </w:r>
    </w:p>
    <w:p w:rsidR="00682801" w:rsidRDefault="00682801" w:rsidP="00682801">
      <w:pPr>
        <w:spacing w:line="360" w:lineRule="auto"/>
        <w:ind w:left="360"/>
        <w:jc w:val="both"/>
        <w:rPr>
          <w:rFonts w:ascii="Arial" w:hAnsi="Arial"/>
        </w:rPr>
      </w:pPr>
    </w:p>
    <w:p w:rsidR="00682801" w:rsidRDefault="001A3AF8" w:rsidP="00AF2E43">
      <w:pPr>
        <w:pStyle w:val="ListParagraph"/>
        <w:numPr>
          <w:ilvl w:val="0"/>
          <w:numId w:val="14"/>
        </w:numPr>
        <w:spacing w:line="360" w:lineRule="auto"/>
        <w:ind w:left="1080" w:hanging="540"/>
        <w:jc w:val="both"/>
        <w:rPr>
          <w:rFonts w:ascii="Arial" w:hAnsi="Arial"/>
        </w:rPr>
      </w:pPr>
      <w:r>
        <w:rPr>
          <w:rFonts w:ascii="Arial" w:hAnsi="Arial"/>
        </w:rPr>
        <w:t>In 12 instances, individuals</w:t>
      </w:r>
      <w:r w:rsidR="00075650" w:rsidRPr="00682801">
        <w:rPr>
          <w:rFonts w:ascii="Arial" w:hAnsi="Arial"/>
        </w:rPr>
        <w:t xml:space="preserve"> indicated that they have possible PII data.  Possible PII data included social security numbers, credit card numbers</w:t>
      </w:r>
      <w:r w:rsidR="00B30118" w:rsidRPr="00682801">
        <w:rPr>
          <w:rFonts w:ascii="Arial" w:hAnsi="Arial"/>
        </w:rPr>
        <w:t xml:space="preserve">, </w:t>
      </w:r>
      <w:r w:rsidR="00815EF2" w:rsidRPr="00682801">
        <w:rPr>
          <w:rFonts w:ascii="Arial" w:hAnsi="Arial"/>
        </w:rPr>
        <w:t>and human resources health related information</w:t>
      </w:r>
      <w:r w:rsidR="00682801" w:rsidRPr="00682801">
        <w:rPr>
          <w:rFonts w:ascii="Arial" w:hAnsi="Arial"/>
        </w:rPr>
        <w:t>.</w:t>
      </w:r>
    </w:p>
    <w:p w:rsidR="00682801" w:rsidRDefault="001A3AF8" w:rsidP="00AF2E43">
      <w:pPr>
        <w:pStyle w:val="ListParagraph"/>
        <w:numPr>
          <w:ilvl w:val="0"/>
          <w:numId w:val="14"/>
        </w:numPr>
        <w:spacing w:line="360" w:lineRule="auto"/>
        <w:ind w:left="1080" w:hanging="540"/>
        <w:jc w:val="both"/>
        <w:rPr>
          <w:rFonts w:ascii="Arial" w:hAnsi="Arial"/>
        </w:rPr>
      </w:pPr>
      <w:r>
        <w:rPr>
          <w:rFonts w:ascii="Arial" w:hAnsi="Arial"/>
        </w:rPr>
        <w:t>In 11 responses, individuals</w:t>
      </w:r>
      <w:r w:rsidR="00815EF2" w:rsidRPr="00682801">
        <w:rPr>
          <w:rFonts w:ascii="Arial" w:hAnsi="Arial"/>
        </w:rPr>
        <w:t xml:space="preserve"> indicated that they are unsure if PII data is retained.</w:t>
      </w:r>
    </w:p>
    <w:p w:rsidR="00075650" w:rsidRPr="00682801" w:rsidRDefault="001A3AF8" w:rsidP="00AF2E43">
      <w:pPr>
        <w:pStyle w:val="ListParagraph"/>
        <w:numPr>
          <w:ilvl w:val="0"/>
          <w:numId w:val="14"/>
        </w:numPr>
        <w:spacing w:line="360" w:lineRule="auto"/>
        <w:ind w:left="1080" w:hanging="540"/>
        <w:jc w:val="both"/>
        <w:rPr>
          <w:rFonts w:ascii="Arial" w:hAnsi="Arial"/>
        </w:rPr>
      </w:pPr>
      <w:r>
        <w:rPr>
          <w:rFonts w:ascii="Arial" w:hAnsi="Arial"/>
        </w:rPr>
        <w:t xml:space="preserve">In </w:t>
      </w:r>
      <w:r w:rsidR="00682801">
        <w:rPr>
          <w:rFonts w:ascii="Arial" w:hAnsi="Arial"/>
        </w:rPr>
        <w:t xml:space="preserve">46 </w:t>
      </w:r>
      <w:r w:rsidR="00075650" w:rsidRPr="00682801">
        <w:rPr>
          <w:rFonts w:ascii="Arial" w:hAnsi="Arial"/>
        </w:rPr>
        <w:t>responses</w:t>
      </w:r>
      <w:r>
        <w:rPr>
          <w:rFonts w:ascii="Arial" w:hAnsi="Arial"/>
        </w:rPr>
        <w:t>, individuals</w:t>
      </w:r>
      <w:r w:rsidR="00075650" w:rsidRPr="00682801">
        <w:rPr>
          <w:rFonts w:ascii="Arial" w:hAnsi="Arial"/>
        </w:rPr>
        <w:t xml:space="preserve"> indicated that they do not carry any PII data.</w:t>
      </w:r>
    </w:p>
    <w:p w:rsidR="00075650" w:rsidRPr="00075650" w:rsidRDefault="00075650" w:rsidP="00D102F6">
      <w:pPr>
        <w:spacing w:line="360" w:lineRule="auto"/>
        <w:jc w:val="both"/>
        <w:rPr>
          <w:rFonts w:ascii="Arial" w:hAnsi="Arial"/>
        </w:rPr>
      </w:pPr>
      <w:r w:rsidRPr="00075650">
        <w:rPr>
          <w:rFonts w:ascii="Arial" w:hAnsi="Arial"/>
        </w:rPr>
        <w:t> </w:t>
      </w:r>
    </w:p>
    <w:p w:rsidR="00810BA0" w:rsidRDefault="000E316C" w:rsidP="00AF2E43">
      <w:pPr>
        <w:spacing w:line="360" w:lineRule="auto"/>
        <w:ind w:left="540"/>
        <w:jc w:val="both"/>
        <w:rPr>
          <w:rFonts w:ascii="Arial" w:hAnsi="Arial"/>
        </w:rPr>
      </w:pPr>
      <w:r>
        <w:rPr>
          <w:rFonts w:ascii="Arial" w:hAnsi="Arial"/>
        </w:rPr>
        <w:t xml:space="preserve">Because survey results were not complete, </w:t>
      </w:r>
      <w:r w:rsidR="00075650" w:rsidRPr="00075650">
        <w:rPr>
          <w:rFonts w:ascii="Arial" w:hAnsi="Arial"/>
        </w:rPr>
        <w:t xml:space="preserve">A&amp;AS was not able to determine </w:t>
      </w:r>
      <w:r>
        <w:rPr>
          <w:rFonts w:ascii="Arial" w:hAnsi="Arial"/>
        </w:rPr>
        <w:t>the full scope of</w:t>
      </w:r>
      <w:r w:rsidR="00075650" w:rsidRPr="00075650">
        <w:rPr>
          <w:rFonts w:ascii="Arial" w:hAnsi="Arial"/>
        </w:rPr>
        <w:t xml:space="preserve"> </w:t>
      </w:r>
      <w:r w:rsidR="004B3A48">
        <w:rPr>
          <w:rFonts w:ascii="Arial" w:hAnsi="Arial"/>
        </w:rPr>
        <w:t>PII that</w:t>
      </w:r>
      <w:r w:rsidR="00075650" w:rsidRPr="00075650">
        <w:rPr>
          <w:rFonts w:ascii="Arial" w:hAnsi="Arial"/>
        </w:rPr>
        <w:t xml:space="preserve"> is retained by the </w:t>
      </w:r>
      <w:r w:rsidR="00494FCD">
        <w:rPr>
          <w:rFonts w:ascii="Arial" w:hAnsi="Arial"/>
        </w:rPr>
        <w:t>School</w:t>
      </w:r>
      <w:r>
        <w:rPr>
          <w:rFonts w:ascii="Arial" w:hAnsi="Arial"/>
        </w:rPr>
        <w:t>.</w:t>
      </w:r>
    </w:p>
    <w:p w:rsidR="00E606D8" w:rsidRDefault="00E606D8" w:rsidP="00810BA0">
      <w:pPr>
        <w:spacing w:line="360" w:lineRule="auto"/>
        <w:ind w:left="360"/>
        <w:jc w:val="both"/>
        <w:rPr>
          <w:rFonts w:ascii="Arial" w:hAnsi="Arial"/>
          <w:u w:val="single"/>
        </w:rPr>
      </w:pPr>
    </w:p>
    <w:p w:rsidR="00E606D8" w:rsidRDefault="00E606D8" w:rsidP="00AF2E43">
      <w:pPr>
        <w:spacing w:line="360" w:lineRule="auto"/>
        <w:ind w:left="540"/>
        <w:jc w:val="both"/>
        <w:rPr>
          <w:rFonts w:ascii="Arial" w:hAnsi="Arial"/>
        </w:rPr>
      </w:pPr>
      <w:r>
        <w:rPr>
          <w:rFonts w:ascii="Arial" w:hAnsi="Arial"/>
        </w:rPr>
        <w:t>Per UCLA Policy 404 – Encryption of Electronically Stored Personal Information, Section III and IV, “</w:t>
      </w:r>
      <w:r w:rsidRPr="00E606D8">
        <w:rPr>
          <w:rFonts w:ascii="Arial" w:hAnsi="Arial"/>
        </w:rPr>
        <w:t>Each organization must maintain an inventory of their electronically stored Personal Information, including individuals responsible</w:t>
      </w:r>
      <w:r>
        <w:rPr>
          <w:rFonts w:ascii="Arial" w:hAnsi="Arial"/>
        </w:rPr>
        <w:t xml:space="preserve"> for this Personal Information</w:t>
      </w:r>
      <w:r w:rsidR="00181C48">
        <w:rPr>
          <w:rFonts w:ascii="Arial" w:hAnsi="Arial"/>
        </w:rPr>
        <w:t xml:space="preserve"> . . .</w:t>
      </w:r>
      <w:r w:rsidR="005E0BC9">
        <w:rPr>
          <w:rFonts w:ascii="Arial" w:hAnsi="Arial"/>
        </w:rPr>
        <w:t xml:space="preserve"> </w:t>
      </w:r>
      <w:r w:rsidRPr="00E606D8">
        <w:rPr>
          <w:rFonts w:ascii="Arial" w:hAnsi="Arial"/>
        </w:rPr>
        <w:t>Organization Heads have ultimate accountability for compliance with this Policy in their organization, even if specific responsibilities are delegated. Each Organization Head must:</w:t>
      </w:r>
    </w:p>
    <w:p w:rsidR="0037670C" w:rsidRPr="00E606D8" w:rsidRDefault="0037670C" w:rsidP="00AF2E43">
      <w:pPr>
        <w:spacing w:line="360" w:lineRule="auto"/>
        <w:ind w:left="540"/>
        <w:jc w:val="both"/>
        <w:rPr>
          <w:rFonts w:ascii="Arial" w:hAnsi="Arial"/>
        </w:rPr>
      </w:pPr>
    </w:p>
    <w:p w:rsidR="00E606D8" w:rsidRPr="0037670C" w:rsidRDefault="00E606D8" w:rsidP="00AF2E43">
      <w:pPr>
        <w:pStyle w:val="ListParagraph"/>
        <w:numPr>
          <w:ilvl w:val="0"/>
          <w:numId w:val="36"/>
        </w:numPr>
        <w:spacing w:line="360" w:lineRule="auto"/>
        <w:ind w:left="1080" w:hanging="540"/>
        <w:jc w:val="both"/>
        <w:rPr>
          <w:rFonts w:ascii="Arial" w:hAnsi="Arial"/>
        </w:rPr>
      </w:pPr>
      <w:r w:rsidRPr="0037670C">
        <w:rPr>
          <w:rFonts w:ascii="Arial" w:hAnsi="Arial"/>
        </w:rPr>
        <w:t>Ensure that Data Stewards in their area of responsibility are aware of and comply with this Policy;</w:t>
      </w:r>
    </w:p>
    <w:p w:rsidR="00E606D8" w:rsidRPr="00E606D8" w:rsidRDefault="00E606D8" w:rsidP="0037670C">
      <w:pPr>
        <w:pStyle w:val="ListParagraph"/>
        <w:numPr>
          <w:ilvl w:val="0"/>
          <w:numId w:val="36"/>
        </w:numPr>
        <w:spacing w:line="360" w:lineRule="auto"/>
        <w:ind w:left="1080" w:hanging="540"/>
        <w:jc w:val="both"/>
        <w:rPr>
          <w:rFonts w:ascii="Arial" w:hAnsi="Arial"/>
        </w:rPr>
      </w:pPr>
      <w:r w:rsidRPr="00E606D8">
        <w:rPr>
          <w:rFonts w:ascii="Arial" w:hAnsi="Arial"/>
        </w:rPr>
        <w:t xml:space="preserve">Review all requests for an exception to encryption within their organization and recommend whether the exception should be granted. </w:t>
      </w:r>
      <w:r w:rsidR="00FB2FD1">
        <w:rPr>
          <w:rFonts w:ascii="Arial" w:hAnsi="Arial"/>
        </w:rPr>
        <w:t xml:space="preserve"> </w:t>
      </w:r>
      <w:r w:rsidRPr="00E606D8">
        <w:rPr>
          <w:rFonts w:ascii="Arial" w:hAnsi="Arial"/>
        </w:rPr>
        <w:t>The authority to make this determination cannot b</w:t>
      </w:r>
      <w:r w:rsidR="0076610C">
        <w:rPr>
          <w:rFonts w:ascii="Arial" w:hAnsi="Arial"/>
        </w:rPr>
        <w:t>e delegated.</w:t>
      </w:r>
      <w:r w:rsidR="005F5AC7">
        <w:rPr>
          <w:rFonts w:ascii="Arial" w:hAnsi="Arial"/>
        </w:rPr>
        <w:t>”</w:t>
      </w:r>
    </w:p>
    <w:p w:rsidR="00F626C5" w:rsidRDefault="00F626C5" w:rsidP="007C2AC3">
      <w:pPr>
        <w:spacing w:line="360" w:lineRule="auto"/>
        <w:ind w:left="360"/>
        <w:jc w:val="both"/>
        <w:rPr>
          <w:rFonts w:ascii="Arial" w:hAnsi="Arial"/>
          <w:u w:val="single"/>
        </w:rPr>
      </w:pPr>
    </w:p>
    <w:p w:rsidR="00075650" w:rsidRDefault="00075650" w:rsidP="0037670C">
      <w:pPr>
        <w:spacing w:line="360" w:lineRule="auto"/>
        <w:ind w:left="540"/>
        <w:jc w:val="both"/>
        <w:rPr>
          <w:rFonts w:ascii="Arial" w:hAnsi="Arial"/>
        </w:rPr>
      </w:pPr>
      <w:r w:rsidRPr="00075650">
        <w:rPr>
          <w:rFonts w:ascii="Arial" w:hAnsi="Arial"/>
          <w:u w:val="single"/>
        </w:rPr>
        <w:t>Recommendation</w:t>
      </w:r>
      <w:r>
        <w:rPr>
          <w:rFonts w:ascii="Arial" w:hAnsi="Arial"/>
        </w:rPr>
        <w:t xml:space="preserve">:  </w:t>
      </w:r>
      <w:r w:rsidR="00A267E4">
        <w:rPr>
          <w:rFonts w:ascii="Arial" w:hAnsi="Arial"/>
        </w:rPr>
        <w:t>M</w:t>
      </w:r>
      <w:r w:rsidR="009E5953" w:rsidRPr="009E5953">
        <w:rPr>
          <w:rFonts w:ascii="Arial" w:hAnsi="Arial"/>
        </w:rPr>
        <w:t xml:space="preserve">anagement should continue their efforts to gather an inventory of all </w:t>
      </w:r>
      <w:r w:rsidR="001A3AF8">
        <w:rPr>
          <w:rFonts w:ascii="Arial" w:hAnsi="Arial"/>
        </w:rPr>
        <w:t xml:space="preserve">information </w:t>
      </w:r>
      <w:r w:rsidR="009E5953" w:rsidRPr="009E5953">
        <w:rPr>
          <w:rFonts w:ascii="Arial" w:hAnsi="Arial"/>
        </w:rPr>
        <w:t xml:space="preserve">systems with </w:t>
      </w:r>
      <w:r w:rsidR="00156264">
        <w:rPr>
          <w:rFonts w:ascii="Arial" w:hAnsi="Arial"/>
        </w:rPr>
        <w:t>PII data</w:t>
      </w:r>
      <w:r w:rsidR="00A267E4">
        <w:rPr>
          <w:rFonts w:ascii="Arial" w:hAnsi="Arial"/>
        </w:rPr>
        <w:t>.</w:t>
      </w:r>
      <w:r w:rsidR="009E5953" w:rsidRPr="009E5953">
        <w:rPr>
          <w:rFonts w:ascii="Arial" w:hAnsi="Arial"/>
        </w:rPr>
        <w:t xml:space="preserve">  This will help determine where </w:t>
      </w:r>
      <w:r w:rsidR="001A3AF8">
        <w:rPr>
          <w:rFonts w:ascii="Arial" w:hAnsi="Arial"/>
        </w:rPr>
        <w:t xml:space="preserve">any potential </w:t>
      </w:r>
      <w:r w:rsidR="009E5953" w:rsidRPr="009E5953">
        <w:rPr>
          <w:rFonts w:ascii="Arial" w:hAnsi="Arial"/>
        </w:rPr>
        <w:t>risk exposures may lie</w:t>
      </w:r>
      <w:r w:rsidR="001248EC">
        <w:rPr>
          <w:rFonts w:ascii="Arial" w:hAnsi="Arial"/>
        </w:rPr>
        <w:t xml:space="preserve">.  </w:t>
      </w:r>
      <w:r w:rsidR="001248EC" w:rsidRPr="001248EC">
        <w:rPr>
          <w:rFonts w:ascii="Arial" w:hAnsi="Arial"/>
        </w:rPr>
        <w:t xml:space="preserve">Correspondingly, </w:t>
      </w:r>
      <w:r w:rsidR="001A3AF8">
        <w:rPr>
          <w:rFonts w:ascii="Arial" w:hAnsi="Arial"/>
        </w:rPr>
        <w:t>individuals who maintain</w:t>
      </w:r>
      <w:r w:rsidR="001248EC" w:rsidRPr="001248EC">
        <w:rPr>
          <w:rFonts w:ascii="Arial" w:hAnsi="Arial"/>
        </w:rPr>
        <w:t xml:space="preserve"> PII data should be reminded that access controls over systems with PII data, including proper security and password controls, </w:t>
      </w:r>
      <w:r w:rsidR="001A3AF8">
        <w:rPr>
          <w:rFonts w:ascii="Arial" w:hAnsi="Arial"/>
        </w:rPr>
        <w:t>should be</w:t>
      </w:r>
      <w:r w:rsidR="001248EC" w:rsidRPr="001248EC">
        <w:rPr>
          <w:rFonts w:ascii="Arial" w:hAnsi="Arial"/>
        </w:rPr>
        <w:t xml:space="preserve"> adequate</w:t>
      </w:r>
      <w:r w:rsidR="001A3AF8">
        <w:rPr>
          <w:rFonts w:ascii="Arial" w:hAnsi="Arial"/>
        </w:rPr>
        <w:t xml:space="preserve"> and in compliance with University policies and procedures</w:t>
      </w:r>
      <w:r w:rsidR="001248EC" w:rsidRPr="001248EC">
        <w:rPr>
          <w:rFonts w:ascii="Arial" w:hAnsi="Arial"/>
        </w:rPr>
        <w:t>.</w:t>
      </w:r>
    </w:p>
    <w:p w:rsidR="00B62243" w:rsidRPr="00E606D8" w:rsidRDefault="00B62243" w:rsidP="001703ED">
      <w:pPr>
        <w:spacing w:line="360" w:lineRule="auto"/>
        <w:ind w:left="360"/>
        <w:jc w:val="both"/>
        <w:rPr>
          <w:rFonts w:ascii="Arial" w:hAnsi="Arial"/>
        </w:rPr>
      </w:pPr>
    </w:p>
    <w:p w:rsidR="00B62243" w:rsidRDefault="003B54EA" w:rsidP="00AF2E43">
      <w:pPr>
        <w:spacing w:line="360" w:lineRule="auto"/>
        <w:ind w:left="540"/>
        <w:jc w:val="both"/>
        <w:rPr>
          <w:rFonts w:ascii="Arial" w:hAnsi="Arial"/>
        </w:rPr>
      </w:pPr>
      <w:r w:rsidRPr="00E606D8">
        <w:rPr>
          <w:rFonts w:ascii="Arial" w:hAnsi="Arial"/>
        </w:rPr>
        <w:t>For any questions that may arise regarding PII</w:t>
      </w:r>
      <w:r w:rsidR="006E349D" w:rsidRPr="00E606D8">
        <w:rPr>
          <w:rFonts w:ascii="Arial" w:hAnsi="Arial"/>
        </w:rPr>
        <w:t xml:space="preserve">, </w:t>
      </w:r>
      <w:r w:rsidR="00B62243" w:rsidRPr="00E606D8">
        <w:rPr>
          <w:rFonts w:ascii="Arial" w:hAnsi="Arial"/>
        </w:rPr>
        <w:t>Luskin management should</w:t>
      </w:r>
      <w:r w:rsidR="006E349D" w:rsidRPr="00E606D8">
        <w:rPr>
          <w:rFonts w:ascii="Arial" w:hAnsi="Arial"/>
        </w:rPr>
        <w:t xml:space="preserve"> </w:t>
      </w:r>
      <w:r w:rsidR="003D3D77" w:rsidRPr="00AF2E43">
        <w:rPr>
          <w:rFonts w:ascii="Arial" w:hAnsi="Arial"/>
        </w:rPr>
        <w:t xml:space="preserve">remind </w:t>
      </w:r>
      <w:r w:rsidR="00B36E45" w:rsidRPr="00AF2E43">
        <w:rPr>
          <w:rFonts w:ascii="Arial" w:hAnsi="Arial"/>
        </w:rPr>
        <w:t>units</w:t>
      </w:r>
      <w:r w:rsidR="003D3D77" w:rsidRPr="00E606D8">
        <w:rPr>
          <w:rFonts w:ascii="Arial" w:hAnsi="Arial"/>
        </w:rPr>
        <w:t xml:space="preserve"> to </w:t>
      </w:r>
      <w:r w:rsidRPr="00E606D8">
        <w:rPr>
          <w:rFonts w:ascii="Arial" w:hAnsi="Arial"/>
        </w:rPr>
        <w:t>consult</w:t>
      </w:r>
      <w:r w:rsidR="00B62243" w:rsidRPr="00E606D8">
        <w:rPr>
          <w:rFonts w:ascii="Arial" w:hAnsi="Arial"/>
        </w:rPr>
        <w:t xml:space="preserve"> with the campus Chief Privacy Officer</w:t>
      </w:r>
      <w:r w:rsidRPr="00E606D8">
        <w:rPr>
          <w:rFonts w:ascii="Arial" w:hAnsi="Arial"/>
        </w:rPr>
        <w:t xml:space="preserve"> and/or</w:t>
      </w:r>
      <w:r w:rsidR="00B62243" w:rsidRPr="00E606D8">
        <w:rPr>
          <w:rFonts w:ascii="Arial" w:hAnsi="Arial"/>
        </w:rPr>
        <w:t xml:space="preserve"> the campus Chief In</w:t>
      </w:r>
      <w:r w:rsidRPr="00E606D8">
        <w:rPr>
          <w:rFonts w:ascii="Arial" w:hAnsi="Arial"/>
        </w:rPr>
        <w:t>formati</w:t>
      </w:r>
      <w:r w:rsidR="00F626C5">
        <w:rPr>
          <w:rFonts w:ascii="Arial" w:hAnsi="Arial"/>
        </w:rPr>
        <w:t>on Security Officer</w:t>
      </w:r>
      <w:r w:rsidR="00B62243" w:rsidRPr="00E606D8">
        <w:rPr>
          <w:rFonts w:ascii="Arial" w:hAnsi="Arial"/>
        </w:rPr>
        <w:t xml:space="preserve"> to determine whether any actions, such as creating confidentiality agreement</w:t>
      </w:r>
      <w:r w:rsidR="00904763" w:rsidRPr="00E606D8">
        <w:rPr>
          <w:rFonts w:ascii="Arial" w:hAnsi="Arial"/>
        </w:rPr>
        <w:t>s</w:t>
      </w:r>
      <w:r w:rsidR="00B62243" w:rsidRPr="00E606D8">
        <w:rPr>
          <w:rFonts w:ascii="Arial" w:hAnsi="Arial"/>
        </w:rPr>
        <w:t xml:space="preserve"> and/or giving notification to research participants, </w:t>
      </w:r>
      <w:r w:rsidR="006E349D" w:rsidRPr="00E606D8">
        <w:rPr>
          <w:rFonts w:ascii="Arial" w:hAnsi="Arial"/>
        </w:rPr>
        <w:t xml:space="preserve">etc. </w:t>
      </w:r>
      <w:r w:rsidRPr="00E606D8">
        <w:rPr>
          <w:rFonts w:ascii="Arial" w:hAnsi="Arial"/>
        </w:rPr>
        <w:t>is required.</w:t>
      </w:r>
    </w:p>
    <w:p w:rsidR="0025002C" w:rsidRDefault="0025002C" w:rsidP="00AF2E43">
      <w:pPr>
        <w:spacing w:line="360" w:lineRule="auto"/>
        <w:ind w:left="540"/>
        <w:jc w:val="both"/>
        <w:rPr>
          <w:rFonts w:ascii="Arial" w:hAnsi="Arial"/>
        </w:rPr>
      </w:pPr>
    </w:p>
    <w:p w:rsidR="0025002C" w:rsidRPr="00E606D8" w:rsidRDefault="0077742F" w:rsidP="00AF2E43">
      <w:pPr>
        <w:spacing w:line="360" w:lineRule="auto"/>
        <w:ind w:left="540"/>
        <w:jc w:val="both"/>
        <w:rPr>
          <w:rFonts w:ascii="Arial" w:hAnsi="Arial"/>
        </w:rPr>
      </w:pPr>
      <w:r w:rsidRPr="0077742F">
        <w:rPr>
          <w:rFonts w:ascii="Arial" w:hAnsi="Arial"/>
          <w:u w:val="single"/>
        </w:rPr>
        <w:t>Response</w:t>
      </w:r>
      <w:r>
        <w:rPr>
          <w:rFonts w:ascii="Arial" w:hAnsi="Arial"/>
        </w:rPr>
        <w:t>:</w:t>
      </w:r>
      <w:r w:rsidR="004F1385">
        <w:rPr>
          <w:rFonts w:ascii="Arial" w:hAnsi="Arial"/>
        </w:rPr>
        <w:t xml:space="preserve">  The Luskin IT Unit will continue to gather an inventory of users who may carry PII data that relates to University business and regularly remind Luskin faculty and staff that access controls over systems with PII data, including proper security and password controls, should be adequate and in compliance with University policies and procedures.  If the response rate from faculty and staff continues to remain low, the Dean will communicate to outstanding individuals at the start of the Fall Quarter of the Academic Year.</w:t>
      </w:r>
      <w:r>
        <w:rPr>
          <w:rFonts w:ascii="Arial" w:hAnsi="Arial"/>
        </w:rPr>
        <w:t xml:space="preserve">  </w:t>
      </w:r>
    </w:p>
    <w:p w:rsidR="00075650" w:rsidRDefault="00075650" w:rsidP="00075650">
      <w:pPr>
        <w:spacing w:line="360" w:lineRule="auto"/>
        <w:jc w:val="both"/>
        <w:rPr>
          <w:rFonts w:ascii="Arial" w:hAnsi="Arial"/>
        </w:rPr>
      </w:pPr>
    </w:p>
    <w:p w:rsidR="004B66EB" w:rsidRPr="00393F77" w:rsidRDefault="001470FA" w:rsidP="00AF2E43">
      <w:pPr>
        <w:pStyle w:val="ListParagraph"/>
        <w:numPr>
          <w:ilvl w:val="0"/>
          <w:numId w:val="11"/>
        </w:numPr>
        <w:spacing w:line="360" w:lineRule="auto"/>
        <w:ind w:left="540" w:hanging="540"/>
        <w:jc w:val="both"/>
        <w:outlineLvl w:val="2"/>
        <w:rPr>
          <w:rFonts w:ascii="Arial" w:hAnsi="Arial"/>
          <w:u w:val="single"/>
        </w:rPr>
      </w:pPr>
      <w:bookmarkStart w:id="8" w:name="_Toc453765950"/>
      <w:r>
        <w:rPr>
          <w:rFonts w:ascii="Arial" w:hAnsi="Arial"/>
          <w:u w:val="single"/>
        </w:rPr>
        <w:t>Superu</w:t>
      </w:r>
      <w:r w:rsidR="004B66EB" w:rsidRPr="00393F77">
        <w:rPr>
          <w:rFonts w:ascii="Arial" w:hAnsi="Arial"/>
          <w:u w:val="single"/>
        </w:rPr>
        <w:t>ser Review</w:t>
      </w:r>
      <w:bookmarkEnd w:id="8"/>
    </w:p>
    <w:p w:rsidR="004B66EB" w:rsidRDefault="004B66EB" w:rsidP="004B66EB">
      <w:pPr>
        <w:spacing w:line="360" w:lineRule="auto"/>
        <w:jc w:val="both"/>
        <w:rPr>
          <w:rFonts w:ascii="Arial" w:hAnsi="Arial"/>
          <w:u w:val="single"/>
        </w:rPr>
      </w:pPr>
    </w:p>
    <w:p w:rsidR="004B66EB" w:rsidRPr="004B66EB" w:rsidRDefault="004C154B" w:rsidP="00AF2E43">
      <w:pPr>
        <w:spacing w:line="360" w:lineRule="auto"/>
        <w:ind w:left="540"/>
        <w:jc w:val="both"/>
        <w:rPr>
          <w:rFonts w:ascii="Arial" w:hAnsi="Arial"/>
        </w:rPr>
      </w:pPr>
      <w:r>
        <w:rPr>
          <w:rFonts w:ascii="Arial" w:hAnsi="Arial"/>
        </w:rPr>
        <w:t xml:space="preserve">For </w:t>
      </w:r>
      <w:r w:rsidR="001A3AF8">
        <w:rPr>
          <w:rFonts w:ascii="Arial" w:hAnsi="Arial"/>
        </w:rPr>
        <w:t xml:space="preserve">information systems within the </w:t>
      </w:r>
      <w:r>
        <w:rPr>
          <w:rFonts w:ascii="Arial" w:hAnsi="Arial"/>
        </w:rPr>
        <w:t>Dean’s office, s</w:t>
      </w:r>
      <w:r w:rsidR="004B66EB" w:rsidRPr="004B66EB">
        <w:rPr>
          <w:rFonts w:ascii="Arial" w:hAnsi="Arial"/>
        </w:rPr>
        <w:t>uperuser</w:t>
      </w:r>
      <w:r w:rsidR="001A3AF8">
        <w:rPr>
          <w:rFonts w:ascii="Arial" w:hAnsi="Arial"/>
        </w:rPr>
        <w:t xml:space="preserve"> access</w:t>
      </w:r>
      <w:r w:rsidR="004B66EB" w:rsidRPr="004B66EB">
        <w:rPr>
          <w:rFonts w:ascii="Arial" w:hAnsi="Arial"/>
        </w:rPr>
        <w:t xml:space="preserve"> to critical systems is limited.  </w:t>
      </w:r>
      <w:r w:rsidR="00B36E45">
        <w:rPr>
          <w:rFonts w:ascii="Arial" w:hAnsi="Arial"/>
        </w:rPr>
        <w:t xml:space="preserve">A superuser account allows for administrative rights to the system(s).  </w:t>
      </w:r>
      <w:r w:rsidR="00184B78">
        <w:rPr>
          <w:rFonts w:ascii="Arial" w:hAnsi="Arial"/>
        </w:rPr>
        <w:t>W</w:t>
      </w:r>
      <w:r>
        <w:rPr>
          <w:rFonts w:ascii="Arial" w:hAnsi="Arial"/>
        </w:rPr>
        <w:t>hile s</w:t>
      </w:r>
      <w:r w:rsidR="004B66EB" w:rsidRPr="004B66EB">
        <w:rPr>
          <w:rFonts w:ascii="Arial" w:hAnsi="Arial"/>
        </w:rPr>
        <w:t>uperuser log-in activity</w:t>
      </w:r>
      <w:r>
        <w:rPr>
          <w:rFonts w:ascii="Arial" w:hAnsi="Arial"/>
        </w:rPr>
        <w:t xml:space="preserve"> is captured in a log file, superuser </w:t>
      </w:r>
      <w:r w:rsidR="00C41C93">
        <w:rPr>
          <w:rFonts w:ascii="Arial" w:hAnsi="Arial"/>
        </w:rPr>
        <w:t>activity</w:t>
      </w:r>
      <w:r w:rsidR="004B66EB" w:rsidRPr="004B66EB">
        <w:rPr>
          <w:rFonts w:ascii="Arial" w:hAnsi="Arial"/>
        </w:rPr>
        <w:t xml:space="preserve"> is not actively reviewed</w:t>
      </w:r>
      <w:r w:rsidR="00AD4A31">
        <w:rPr>
          <w:rFonts w:ascii="Arial" w:hAnsi="Arial"/>
        </w:rPr>
        <w:t xml:space="preserve"> by an independent person</w:t>
      </w:r>
      <w:r w:rsidR="004B66EB" w:rsidRPr="004B66EB">
        <w:rPr>
          <w:rFonts w:ascii="Arial" w:hAnsi="Arial"/>
        </w:rPr>
        <w:t xml:space="preserve">. </w:t>
      </w:r>
      <w:r w:rsidR="004B66EB" w:rsidRPr="00C41C93">
        <w:rPr>
          <w:rFonts w:ascii="Arial" w:hAnsi="Arial"/>
          <w:color w:val="FF0000"/>
        </w:rPr>
        <w:t xml:space="preserve"> </w:t>
      </w:r>
    </w:p>
    <w:p w:rsidR="004B66EB" w:rsidRPr="004B66EB" w:rsidRDefault="004B66EB" w:rsidP="004B66EB">
      <w:pPr>
        <w:spacing w:line="360" w:lineRule="auto"/>
        <w:jc w:val="both"/>
        <w:rPr>
          <w:rFonts w:ascii="Arial" w:hAnsi="Arial"/>
          <w:u w:val="single"/>
        </w:rPr>
      </w:pPr>
      <w:r w:rsidRPr="004B66EB">
        <w:rPr>
          <w:rFonts w:ascii="Arial" w:hAnsi="Arial"/>
          <w:u w:val="single"/>
        </w:rPr>
        <w:t xml:space="preserve"> </w:t>
      </w:r>
    </w:p>
    <w:p w:rsidR="00C41C93" w:rsidRDefault="00A75A45" w:rsidP="00AF2E43">
      <w:pPr>
        <w:spacing w:line="360" w:lineRule="auto"/>
        <w:ind w:left="540"/>
        <w:jc w:val="both"/>
        <w:rPr>
          <w:rFonts w:ascii="Arial" w:hAnsi="Arial"/>
        </w:rPr>
      </w:pPr>
      <w:r>
        <w:rPr>
          <w:rFonts w:ascii="Arial" w:hAnsi="Arial"/>
        </w:rPr>
        <w:t>As</w:t>
      </w:r>
      <w:r w:rsidR="000B01EB">
        <w:rPr>
          <w:rFonts w:ascii="Arial" w:hAnsi="Arial"/>
        </w:rPr>
        <w:t xml:space="preserve"> noted above in section A, there was a 60% response rate to</w:t>
      </w:r>
      <w:r w:rsidR="003800EC">
        <w:rPr>
          <w:rFonts w:ascii="Arial" w:hAnsi="Arial"/>
        </w:rPr>
        <w:t xml:space="preserve"> the PII</w:t>
      </w:r>
      <w:r w:rsidR="000B01EB">
        <w:rPr>
          <w:rFonts w:ascii="Arial" w:hAnsi="Arial"/>
        </w:rPr>
        <w:t xml:space="preserve"> survey that management sent out.  As a result, A&amp;AS could not</w:t>
      </w:r>
      <w:r w:rsidR="004B66EB" w:rsidRPr="004B66EB">
        <w:rPr>
          <w:rFonts w:ascii="Arial" w:hAnsi="Arial"/>
        </w:rPr>
        <w:t xml:space="preserve"> determine </w:t>
      </w:r>
      <w:r w:rsidR="000B01EB">
        <w:rPr>
          <w:rFonts w:ascii="Arial" w:hAnsi="Arial"/>
        </w:rPr>
        <w:t xml:space="preserve">whether </w:t>
      </w:r>
      <w:r w:rsidR="004B66EB" w:rsidRPr="004B66EB">
        <w:rPr>
          <w:rFonts w:ascii="Arial" w:hAnsi="Arial"/>
        </w:rPr>
        <w:t>overall con</w:t>
      </w:r>
      <w:r w:rsidR="000B01EB">
        <w:rPr>
          <w:rFonts w:ascii="Arial" w:hAnsi="Arial"/>
        </w:rPr>
        <w:t xml:space="preserve">trols over superuser access to </w:t>
      </w:r>
      <w:r w:rsidR="004B66EB" w:rsidRPr="004B66EB">
        <w:rPr>
          <w:rFonts w:ascii="Arial" w:hAnsi="Arial"/>
        </w:rPr>
        <w:t>systems</w:t>
      </w:r>
      <w:r w:rsidR="003800EC">
        <w:rPr>
          <w:rFonts w:ascii="Arial" w:hAnsi="Arial"/>
        </w:rPr>
        <w:t xml:space="preserve"> with PII </w:t>
      </w:r>
      <w:r w:rsidR="000B01EB">
        <w:rPr>
          <w:rFonts w:ascii="Arial" w:hAnsi="Arial"/>
        </w:rPr>
        <w:t xml:space="preserve">within the </w:t>
      </w:r>
      <w:r w:rsidR="00494FCD">
        <w:rPr>
          <w:rFonts w:ascii="Arial" w:hAnsi="Arial"/>
        </w:rPr>
        <w:t>School</w:t>
      </w:r>
      <w:r w:rsidR="000B01EB">
        <w:rPr>
          <w:rFonts w:ascii="Arial" w:hAnsi="Arial"/>
        </w:rPr>
        <w:t xml:space="preserve"> are adequately controlled.</w:t>
      </w:r>
    </w:p>
    <w:p w:rsidR="000B01EB" w:rsidRDefault="000B01EB" w:rsidP="001470FA">
      <w:pPr>
        <w:spacing w:line="360" w:lineRule="auto"/>
        <w:ind w:left="360"/>
        <w:jc w:val="both"/>
        <w:rPr>
          <w:rFonts w:ascii="Arial" w:hAnsi="Arial"/>
        </w:rPr>
      </w:pPr>
    </w:p>
    <w:p w:rsidR="00C41C93" w:rsidRDefault="00C41C93" w:rsidP="00AF2E43">
      <w:pPr>
        <w:spacing w:line="360" w:lineRule="auto"/>
        <w:ind w:left="540"/>
        <w:jc w:val="both"/>
        <w:rPr>
          <w:rFonts w:ascii="Arial" w:hAnsi="Arial"/>
        </w:rPr>
      </w:pPr>
      <w:r w:rsidRPr="00C41C93">
        <w:rPr>
          <w:rFonts w:ascii="Arial" w:hAnsi="Arial"/>
        </w:rPr>
        <w:t>According to guidance on privileged users stated in UC Business and Finance Bulletin IS-3, section III.C.2.b.iii, "activities performed using a privileged account should be logged, where feasible, and the logs should be reviewed on a regular basis by an independent and knowledgeable person."  Additionally, "use of privileged accounts should be monitored periodically to ensure they are being used for authorized purposes."</w:t>
      </w:r>
    </w:p>
    <w:p w:rsidR="004B66EB" w:rsidRPr="00637D64" w:rsidRDefault="004B66EB" w:rsidP="004B66EB">
      <w:pPr>
        <w:spacing w:line="360" w:lineRule="auto"/>
        <w:jc w:val="both"/>
        <w:rPr>
          <w:rFonts w:ascii="Arial" w:hAnsi="Arial"/>
          <w:u w:val="single"/>
        </w:rPr>
      </w:pPr>
    </w:p>
    <w:p w:rsidR="00694431" w:rsidRDefault="004B66EB" w:rsidP="0037670C">
      <w:pPr>
        <w:spacing w:line="360" w:lineRule="auto"/>
        <w:ind w:left="540"/>
        <w:jc w:val="both"/>
        <w:rPr>
          <w:rFonts w:ascii="Arial" w:hAnsi="Arial"/>
        </w:rPr>
      </w:pPr>
      <w:r w:rsidRPr="00637D64">
        <w:rPr>
          <w:rFonts w:ascii="Arial" w:hAnsi="Arial"/>
          <w:u w:val="single"/>
        </w:rPr>
        <w:t>Recommendation</w:t>
      </w:r>
      <w:r>
        <w:rPr>
          <w:rFonts w:ascii="Arial" w:hAnsi="Arial"/>
        </w:rPr>
        <w:t xml:space="preserve">:  </w:t>
      </w:r>
      <w:r w:rsidR="00CB73C5">
        <w:rPr>
          <w:rFonts w:ascii="Arial" w:hAnsi="Arial"/>
        </w:rPr>
        <w:t>M</w:t>
      </w:r>
      <w:r w:rsidR="00C41C93" w:rsidRPr="00C41C93">
        <w:rPr>
          <w:rFonts w:ascii="Arial" w:hAnsi="Arial"/>
        </w:rPr>
        <w:t>anagement should continue logging superuser activity</w:t>
      </w:r>
      <w:r w:rsidR="00CB73C5">
        <w:rPr>
          <w:rFonts w:ascii="Arial" w:hAnsi="Arial"/>
        </w:rPr>
        <w:t xml:space="preserve"> at the Dean’s Office; however,</w:t>
      </w:r>
      <w:r w:rsidR="00C41C93" w:rsidRPr="00C41C93">
        <w:rPr>
          <w:rFonts w:ascii="Arial" w:hAnsi="Arial"/>
        </w:rPr>
        <w:t xml:space="preserve"> the</w:t>
      </w:r>
      <w:r w:rsidR="00865A1D">
        <w:rPr>
          <w:rFonts w:ascii="Arial" w:hAnsi="Arial"/>
        </w:rPr>
        <w:t>se</w:t>
      </w:r>
      <w:r w:rsidR="00C41C93" w:rsidRPr="00C41C93">
        <w:rPr>
          <w:rFonts w:ascii="Arial" w:hAnsi="Arial"/>
        </w:rPr>
        <w:t xml:space="preserve"> logs should be periodically reviewed by an independent and knowledgeable individual to ensure that privileged accounts are only used for authorized purposes.   </w:t>
      </w:r>
    </w:p>
    <w:p w:rsidR="00694431" w:rsidRDefault="00694431" w:rsidP="00C41C93">
      <w:pPr>
        <w:spacing w:line="360" w:lineRule="auto"/>
        <w:ind w:left="360"/>
        <w:jc w:val="both"/>
        <w:rPr>
          <w:rFonts w:ascii="Arial" w:hAnsi="Arial"/>
        </w:rPr>
      </w:pPr>
    </w:p>
    <w:p w:rsidR="004B66EB" w:rsidRDefault="00865A1D" w:rsidP="00AF2E43">
      <w:pPr>
        <w:spacing w:line="360" w:lineRule="auto"/>
        <w:ind w:left="540"/>
        <w:jc w:val="both"/>
        <w:rPr>
          <w:rFonts w:ascii="Arial" w:hAnsi="Arial"/>
        </w:rPr>
      </w:pPr>
      <w:r w:rsidRPr="00AF2E43">
        <w:rPr>
          <w:rFonts w:ascii="Arial" w:hAnsi="Arial"/>
        </w:rPr>
        <w:t xml:space="preserve">For other areas within the </w:t>
      </w:r>
      <w:r w:rsidR="00494FCD" w:rsidRPr="00AF2E43">
        <w:rPr>
          <w:rFonts w:ascii="Arial" w:hAnsi="Arial"/>
        </w:rPr>
        <w:t>School</w:t>
      </w:r>
      <w:r w:rsidRPr="00AF2E43">
        <w:rPr>
          <w:rFonts w:ascii="Arial" w:hAnsi="Arial"/>
        </w:rPr>
        <w:t>, once it is determi</w:t>
      </w:r>
      <w:r w:rsidR="00694431" w:rsidRPr="00AF2E43">
        <w:rPr>
          <w:rFonts w:ascii="Arial" w:hAnsi="Arial"/>
        </w:rPr>
        <w:t xml:space="preserve">ned where </w:t>
      </w:r>
      <w:r w:rsidR="001D6A86" w:rsidRPr="00AF2E43">
        <w:rPr>
          <w:rFonts w:ascii="Arial" w:hAnsi="Arial"/>
        </w:rPr>
        <w:t>PII</w:t>
      </w:r>
      <w:r w:rsidRPr="00AF2E43">
        <w:rPr>
          <w:rFonts w:ascii="Arial" w:hAnsi="Arial"/>
        </w:rPr>
        <w:t xml:space="preserve"> data resides, management should send out periodic notifications to these areas, </w:t>
      </w:r>
      <w:r w:rsidR="00694431" w:rsidRPr="00AF2E43">
        <w:rPr>
          <w:rFonts w:ascii="Arial" w:hAnsi="Arial"/>
        </w:rPr>
        <w:t>reminding them to ensure that superuser activity is properly logged and monitored.</w:t>
      </w:r>
    </w:p>
    <w:p w:rsidR="0077742F" w:rsidRDefault="0077742F" w:rsidP="00AF2E43">
      <w:pPr>
        <w:spacing w:line="360" w:lineRule="auto"/>
        <w:ind w:left="540"/>
        <w:jc w:val="both"/>
        <w:rPr>
          <w:rFonts w:ascii="Arial" w:hAnsi="Arial"/>
        </w:rPr>
      </w:pPr>
    </w:p>
    <w:p w:rsidR="004B66EB" w:rsidRDefault="0077742F" w:rsidP="004F1385">
      <w:pPr>
        <w:spacing w:line="360" w:lineRule="auto"/>
        <w:ind w:left="540"/>
        <w:jc w:val="both"/>
        <w:rPr>
          <w:rFonts w:ascii="Arial" w:hAnsi="Arial"/>
        </w:rPr>
      </w:pPr>
      <w:r w:rsidRPr="0077742F">
        <w:rPr>
          <w:rFonts w:ascii="Arial" w:hAnsi="Arial"/>
          <w:u w:val="single"/>
        </w:rPr>
        <w:t>Response</w:t>
      </w:r>
      <w:r>
        <w:rPr>
          <w:rFonts w:ascii="Arial" w:hAnsi="Arial"/>
        </w:rPr>
        <w:t>:</w:t>
      </w:r>
      <w:r w:rsidR="004F1385">
        <w:rPr>
          <w:rFonts w:ascii="Arial" w:hAnsi="Arial"/>
        </w:rPr>
        <w:t xml:space="preserve">  The Luskin School has chosen to designate one lead as the superuser to oversee privileged accounts and conduct monitoring on a periodic basis to ensure that privileged accounts are only used for authorized purposes.  The superuser will send out periodic review reminders to any who have PII data. </w:t>
      </w:r>
      <w:r>
        <w:rPr>
          <w:rFonts w:ascii="Arial" w:hAnsi="Arial"/>
        </w:rPr>
        <w:t xml:space="preserve">  </w:t>
      </w:r>
    </w:p>
    <w:p w:rsidR="00593B4F" w:rsidRPr="004F1385" w:rsidRDefault="00593B4F" w:rsidP="004F1385">
      <w:pPr>
        <w:spacing w:line="360" w:lineRule="auto"/>
        <w:ind w:left="540"/>
        <w:jc w:val="both"/>
        <w:rPr>
          <w:rFonts w:ascii="Arial" w:hAnsi="Arial"/>
        </w:rPr>
      </w:pPr>
    </w:p>
    <w:p w:rsidR="00104C3E" w:rsidRPr="00104C3E" w:rsidRDefault="00104C3E" w:rsidP="00AF2E43">
      <w:pPr>
        <w:pStyle w:val="ListParagraph"/>
        <w:numPr>
          <w:ilvl w:val="0"/>
          <w:numId w:val="11"/>
        </w:numPr>
        <w:spacing w:line="360" w:lineRule="auto"/>
        <w:ind w:left="540" w:hanging="540"/>
        <w:jc w:val="both"/>
        <w:outlineLvl w:val="2"/>
        <w:rPr>
          <w:rFonts w:ascii="Arial" w:hAnsi="Arial"/>
          <w:u w:val="single"/>
        </w:rPr>
      </w:pPr>
      <w:bookmarkStart w:id="9" w:name="_Toc453765951"/>
      <w:r w:rsidRPr="00104C3E">
        <w:rPr>
          <w:rFonts w:ascii="Arial" w:hAnsi="Arial"/>
          <w:u w:val="single"/>
        </w:rPr>
        <w:t>Physical Security</w:t>
      </w:r>
      <w:bookmarkEnd w:id="9"/>
    </w:p>
    <w:p w:rsidR="00104C3E" w:rsidRDefault="00104C3E" w:rsidP="00104C3E">
      <w:pPr>
        <w:spacing w:line="360" w:lineRule="auto"/>
        <w:jc w:val="both"/>
        <w:rPr>
          <w:rFonts w:ascii="Arial" w:hAnsi="Arial"/>
        </w:rPr>
      </w:pPr>
    </w:p>
    <w:p w:rsidR="00D0740B" w:rsidRDefault="000B05C1" w:rsidP="00AF2E43">
      <w:pPr>
        <w:spacing w:line="360" w:lineRule="auto"/>
        <w:ind w:left="540"/>
        <w:jc w:val="both"/>
        <w:rPr>
          <w:rFonts w:ascii="Arial" w:hAnsi="Arial"/>
        </w:rPr>
      </w:pPr>
      <w:r>
        <w:rPr>
          <w:rFonts w:ascii="Arial" w:hAnsi="Arial"/>
        </w:rPr>
        <w:t>P</w:t>
      </w:r>
      <w:r w:rsidR="00AD0357">
        <w:rPr>
          <w:rFonts w:ascii="Arial" w:hAnsi="Arial"/>
        </w:rPr>
        <w:t xml:space="preserve">hysical </w:t>
      </w:r>
      <w:r w:rsidR="002C0FD0">
        <w:rPr>
          <w:rFonts w:ascii="Arial" w:hAnsi="Arial"/>
        </w:rPr>
        <w:t xml:space="preserve">and access </w:t>
      </w:r>
      <w:r w:rsidR="00691B45">
        <w:rPr>
          <w:rFonts w:ascii="Arial" w:hAnsi="Arial"/>
        </w:rPr>
        <w:t>controls over t</w:t>
      </w:r>
      <w:r w:rsidR="00104C3E" w:rsidRPr="00104C3E">
        <w:rPr>
          <w:rFonts w:ascii="Arial" w:hAnsi="Arial"/>
        </w:rPr>
        <w:t xml:space="preserve">he Luskin </w:t>
      </w:r>
      <w:r w:rsidR="00691B45">
        <w:rPr>
          <w:rFonts w:ascii="Arial" w:hAnsi="Arial"/>
        </w:rPr>
        <w:t>server room</w:t>
      </w:r>
      <w:r>
        <w:rPr>
          <w:rFonts w:ascii="Arial" w:hAnsi="Arial"/>
        </w:rPr>
        <w:t xml:space="preserve"> were reviewe</w:t>
      </w:r>
      <w:r w:rsidR="00FC3A6F">
        <w:rPr>
          <w:rFonts w:ascii="Arial" w:hAnsi="Arial"/>
        </w:rPr>
        <w:t>d</w:t>
      </w:r>
      <w:r w:rsidR="00691B45">
        <w:rPr>
          <w:rFonts w:ascii="Arial" w:hAnsi="Arial"/>
        </w:rPr>
        <w:t xml:space="preserve">.  </w:t>
      </w:r>
      <w:r w:rsidR="00104C3E" w:rsidRPr="00104C3E">
        <w:rPr>
          <w:rFonts w:ascii="Arial" w:hAnsi="Arial"/>
        </w:rPr>
        <w:t>The server room is equipped with a traditional sprinkler system and a CO2 fire suppression system</w:t>
      </w:r>
      <w:r w:rsidR="0029218D">
        <w:rPr>
          <w:rFonts w:ascii="Arial" w:hAnsi="Arial"/>
        </w:rPr>
        <w:t xml:space="preserve">.  </w:t>
      </w:r>
      <w:r w:rsidR="00691B45">
        <w:rPr>
          <w:rFonts w:ascii="Arial" w:hAnsi="Arial"/>
        </w:rPr>
        <w:t xml:space="preserve">Also, </w:t>
      </w:r>
      <w:r w:rsidR="0029218D">
        <w:rPr>
          <w:rFonts w:ascii="Arial" w:hAnsi="Arial"/>
        </w:rPr>
        <w:t>servers are on server racks, which</w:t>
      </w:r>
      <w:r w:rsidR="00104C3E" w:rsidRPr="00104C3E">
        <w:rPr>
          <w:rFonts w:ascii="Arial" w:hAnsi="Arial"/>
        </w:rPr>
        <w:t xml:space="preserve"> are secured to the floor in case of an earthquake</w:t>
      </w:r>
      <w:r w:rsidR="00691B45">
        <w:rPr>
          <w:rFonts w:ascii="Arial" w:hAnsi="Arial"/>
        </w:rPr>
        <w:t>, and the</w:t>
      </w:r>
      <w:r w:rsidR="00104C3E" w:rsidRPr="00104C3E">
        <w:rPr>
          <w:rFonts w:ascii="Arial" w:hAnsi="Arial"/>
        </w:rPr>
        <w:t xml:space="preserve"> room is located away from potential hazards.</w:t>
      </w:r>
      <w:r w:rsidR="00691B45">
        <w:rPr>
          <w:rFonts w:ascii="Arial" w:hAnsi="Arial"/>
        </w:rPr>
        <w:t xml:space="preserve">  </w:t>
      </w:r>
    </w:p>
    <w:p w:rsidR="00D0740B" w:rsidRDefault="00D0740B" w:rsidP="00D119FF">
      <w:pPr>
        <w:spacing w:line="360" w:lineRule="auto"/>
        <w:ind w:left="360"/>
        <w:jc w:val="both"/>
        <w:rPr>
          <w:rFonts w:ascii="Arial" w:hAnsi="Arial"/>
        </w:rPr>
      </w:pPr>
    </w:p>
    <w:p w:rsidR="00104C3E" w:rsidRPr="00104C3E" w:rsidRDefault="00D0740B" w:rsidP="00AF2E43">
      <w:pPr>
        <w:spacing w:line="360" w:lineRule="auto"/>
        <w:ind w:left="540"/>
        <w:jc w:val="both"/>
        <w:rPr>
          <w:rFonts w:ascii="Arial" w:hAnsi="Arial"/>
        </w:rPr>
      </w:pPr>
      <w:r>
        <w:rPr>
          <w:rFonts w:ascii="Arial" w:hAnsi="Arial"/>
        </w:rPr>
        <w:t>Additionally</w:t>
      </w:r>
      <w:r w:rsidR="00691B45">
        <w:rPr>
          <w:rFonts w:ascii="Arial" w:hAnsi="Arial"/>
        </w:rPr>
        <w:t>, t</w:t>
      </w:r>
      <w:r w:rsidR="00104C3E" w:rsidRPr="00104C3E">
        <w:rPr>
          <w:rFonts w:ascii="Arial" w:hAnsi="Arial"/>
        </w:rPr>
        <w:t>he</w:t>
      </w:r>
      <w:r w:rsidR="00691B45">
        <w:rPr>
          <w:rFonts w:ascii="Arial" w:hAnsi="Arial"/>
        </w:rPr>
        <w:t xml:space="preserve"> server</w:t>
      </w:r>
      <w:r w:rsidR="00104C3E" w:rsidRPr="00104C3E">
        <w:rPr>
          <w:rFonts w:ascii="Arial" w:hAnsi="Arial"/>
        </w:rPr>
        <w:t xml:space="preserve"> room has adequate cooling and ventilation systems</w:t>
      </w:r>
      <w:r w:rsidR="00D119FF">
        <w:rPr>
          <w:rFonts w:ascii="Arial" w:hAnsi="Arial"/>
        </w:rPr>
        <w:t xml:space="preserve">, including a </w:t>
      </w:r>
      <w:r w:rsidR="00104C3E" w:rsidRPr="00104C3E">
        <w:rPr>
          <w:rFonts w:ascii="Arial" w:hAnsi="Arial"/>
        </w:rPr>
        <w:t>tra</w:t>
      </w:r>
      <w:r w:rsidR="00D119FF">
        <w:rPr>
          <w:rFonts w:ascii="Arial" w:hAnsi="Arial"/>
        </w:rPr>
        <w:t>ditional air conditioning unit which serves</w:t>
      </w:r>
      <w:r w:rsidR="00104C3E" w:rsidRPr="00104C3E">
        <w:rPr>
          <w:rFonts w:ascii="Arial" w:hAnsi="Arial"/>
        </w:rPr>
        <w:t xml:space="preserve"> as a back-up.</w:t>
      </w:r>
      <w:r w:rsidR="00D119FF">
        <w:rPr>
          <w:rFonts w:ascii="Arial" w:hAnsi="Arial"/>
        </w:rPr>
        <w:t xml:space="preserve">  Further, s</w:t>
      </w:r>
      <w:r w:rsidR="00104C3E" w:rsidRPr="00104C3E">
        <w:rPr>
          <w:rFonts w:ascii="Arial" w:hAnsi="Arial"/>
        </w:rPr>
        <w:t>moke alarms are located inside the server room and are linked to the sprinkler system</w:t>
      </w:r>
      <w:r w:rsidR="00D119FF">
        <w:rPr>
          <w:rFonts w:ascii="Arial" w:hAnsi="Arial"/>
        </w:rPr>
        <w:t>, and t</w:t>
      </w:r>
      <w:r w:rsidR="00104C3E" w:rsidRPr="00104C3E">
        <w:rPr>
          <w:rFonts w:ascii="Arial" w:hAnsi="Arial"/>
        </w:rPr>
        <w:t>here are moisture alarms in the air condition vents and a water alarm for the chilled water unit.</w:t>
      </w:r>
    </w:p>
    <w:p w:rsidR="00104C3E" w:rsidRPr="00104C3E" w:rsidRDefault="00104C3E" w:rsidP="00104C3E">
      <w:pPr>
        <w:spacing w:line="360" w:lineRule="auto"/>
        <w:jc w:val="both"/>
        <w:rPr>
          <w:rFonts w:ascii="Arial" w:hAnsi="Arial"/>
        </w:rPr>
      </w:pPr>
      <w:r w:rsidRPr="00104C3E">
        <w:rPr>
          <w:rFonts w:ascii="Arial" w:hAnsi="Arial"/>
        </w:rPr>
        <w:t> </w:t>
      </w:r>
    </w:p>
    <w:p w:rsidR="00104C3E" w:rsidRDefault="00104C3E" w:rsidP="00AF2E43">
      <w:pPr>
        <w:spacing w:line="360" w:lineRule="auto"/>
        <w:ind w:left="540"/>
        <w:jc w:val="both"/>
        <w:rPr>
          <w:rFonts w:ascii="Arial" w:hAnsi="Arial"/>
        </w:rPr>
      </w:pPr>
      <w:r w:rsidRPr="00104C3E">
        <w:rPr>
          <w:rFonts w:ascii="Arial" w:hAnsi="Arial"/>
        </w:rPr>
        <w:t xml:space="preserve">There are nine individuals with access to the Luskin </w:t>
      </w:r>
      <w:r w:rsidR="001A3AF8">
        <w:rPr>
          <w:rFonts w:ascii="Arial" w:hAnsi="Arial"/>
        </w:rPr>
        <w:t>s</w:t>
      </w:r>
      <w:r w:rsidRPr="00104C3E">
        <w:rPr>
          <w:rFonts w:ascii="Arial" w:hAnsi="Arial"/>
        </w:rPr>
        <w:t xml:space="preserve">erver </w:t>
      </w:r>
      <w:r w:rsidR="001A3AF8">
        <w:rPr>
          <w:rFonts w:ascii="Arial" w:hAnsi="Arial"/>
        </w:rPr>
        <w:t>r</w:t>
      </w:r>
      <w:r w:rsidRPr="00104C3E">
        <w:rPr>
          <w:rFonts w:ascii="Arial" w:hAnsi="Arial"/>
        </w:rPr>
        <w:t>oom.  Based on audit review, access for all nine individuals appears appropriate.</w:t>
      </w:r>
    </w:p>
    <w:p w:rsidR="00AF6BD6" w:rsidRDefault="00AF6BD6" w:rsidP="00104C3E">
      <w:pPr>
        <w:spacing w:line="360" w:lineRule="auto"/>
        <w:jc w:val="both"/>
        <w:rPr>
          <w:rFonts w:ascii="Arial" w:hAnsi="Arial"/>
        </w:rPr>
      </w:pPr>
    </w:p>
    <w:p w:rsidR="00AF6BD6" w:rsidRDefault="00AF6BD6" w:rsidP="00AF2E43">
      <w:pPr>
        <w:spacing w:line="360" w:lineRule="auto"/>
        <w:ind w:left="540"/>
        <w:jc w:val="both"/>
        <w:rPr>
          <w:rFonts w:ascii="Arial" w:hAnsi="Arial"/>
        </w:rPr>
      </w:pPr>
      <w:r>
        <w:rPr>
          <w:rFonts w:ascii="Arial" w:hAnsi="Arial"/>
        </w:rPr>
        <w:t>There were no significant control weaknesses noted in this area.</w:t>
      </w:r>
    </w:p>
    <w:p w:rsidR="00B95358" w:rsidRDefault="00B95358" w:rsidP="00960E4A">
      <w:pPr>
        <w:spacing w:line="360" w:lineRule="auto"/>
        <w:ind w:firstLine="360"/>
        <w:jc w:val="both"/>
        <w:rPr>
          <w:rFonts w:ascii="Arial" w:hAnsi="Arial"/>
        </w:rPr>
      </w:pPr>
    </w:p>
    <w:p w:rsidR="00AF6BD6" w:rsidRPr="00AF6BD6" w:rsidRDefault="00AF6BD6" w:rsidP="00AF2E43">
      <w:pPr>
        <w:pStyle w:val="ListParagraph"/>
        <w:numPr>
          <w:ilvl w:val="0"/>
          <w:numId w:val="11"/>
        </w:numPr>
        <w:spacing w:line="360" w:lineRule="auto"/>
        <w:ind w:left="540" w:hanging="540"/>
        <w:jc w:val="both"/>
        <w:outlineLvl w:val="2"/>
        <w:rPr>
          <w:rFonts w:ascii="Arial" w:hAnsi="Arial"/>
          <w:u w:val="single"/>
        </w:rPr>
      </w:pPr>
      <w:bookmarkStart w:id="10" w:name="_Toc453765952"/>
      <w:r w:rsidRPr="00AF6BD6">
        <w:rPr>
          <w:rFonts w:ascii="Arial" w:hAnsi="Arial"/>
          <w:u w:val="single"/>
        </w:rPr>
        <w:t>Technical Controls</w:t>
      </w:r>
      <w:bookmarkEnd w:id="10"/>
    </w:p>
    <w:p w:rsidR="00AF6BD6" w:rsidRDefault="00AF6BD6" w:rsidP="00AF6BD6">
      <w:pPr>
        <w:spacing w:line="360" w:lineRule="auto"/>
        <w:jc w:val="both"/>
        <w:rPr>
          <w:rFonts w:ascii="Arial" w:hAnsi="Arial"/>
        </w:rPr>
      </w:pPr>
    </w:p>
    <w:p w:rsidR="00AF6BD6" w:rsidRDefault="00933629" w:rsidP="00593B4F">
      <w:pPr>
        <w:spacing w:line="360" w:lineRule="auto"/>
        <w:ind w:left="540"/>
        <w:jc w:val="both"/>
        <w:rPr>
          <w:rFonts w:ascii="Arial" w:hAnsi="Arial"/>
        </w:rPr>
      </w:pPr>
      <w:r>
        <w:rPr>
          <w:rFonts w:ascii="Arial" w:hAnsi="Arial"/>
        </w:rPr>
        <w:t xml:space="preserve">Based on </w:t>
      </w:r>
      <w:r w:rsidR="002E10DB">
        <w:rPr>
          <w:rFonts w:ascii="Arial" w:hAnsi="Arial"/>
        </w:rPr>
        <w:t>interviews conducted during the audit regarding the</w:t>
      </w:r>
      <w:r w:rsidR="003D7F77">
        <w:rPr>
          <w:rFonts w:ascii="Arial" w:hAnsi="Arial"/>
        </w:rPr>
        <w:t xml:space="preserve"> Dean’s office systems</w:t>
      </w:r>
      <w:r w:rsidR="00B355AB">
        <w:rPr>
          <w:rFonts w:ascii="Arial" w:hAnsi="Arial"/>
        </w:rPr>
        <w:t>, c</w:t>
      </w:r>
      <w:r w:rsidR="00AF6BD6" w:rsidRPr="00AF6BD6">
        <w:rPr>
          <w:rFonts w:ascii="Arial" w:hAnsi="Arial"/>
        </w:rPr>
        <w:t xml:space="preserve">ontrols over password security, user access, network security, desktop security, patch management, and back-up/disaster recovery appear </w:t>
      </w:r>
      <w:r w:rsidR="001A614E">
        <w:rPr>
          <w:rFonts w:ascii="Arial" w:hAnsi="Arial"/>
        </w:rPr>
        <w:t xml:space="preserve">to be </w:t>
      </w:r>
      <w:r w:rsidR="00AF6BD6" w:rsidRPr="00AF6BD6">
        <w:rPr>
          <w:rFonts w:ascii="Arial" w:hAnsi="Arial"/>
        </w:rPr>
        <w:t>adequately controlled.</w:t>
      </w:r>
      <w:r w:rsidR="0037670C">
        <w:rPr>
          <w:rFonts w:ascii="Arial" w:hAnsi="Arial"/>
        </w:rPr>
        <w:t xml:space="preserve">  The following were noted:</w:t>
      </w:r>
    </w:p>
    <w:p w:rsidR="00593B4F" w:rsidRDefault="00593B4F" w:rsidP="00593B4F">
      <w:pPr>
        <w:spacing w:line="360" w:lineRule="auto"/>
        <w:ind w:left="540"/>
        <w:jc w:val="both"/>
        <w:rPr>
          <w:rFonts w:ascii="Arial" w:hAnsi="Arial"/>
        </w:rPr>
      </w:pPr>
    </w:p>
    <w:p w:rsidR="00593B4F" w:rsidRDefault="00593B4F" w:rsidP="00593B4F">
      <w:pPr>
        <w:spacing w:line="360" w:lineRule="auto"/>
        <w:ind w:left="540"/>
        <w:jc w:val="both"/>
        <w:rPr>
          <w:rFonts w:ascii="Arial" w:hAnsi="Arial"/>
        </w:rPr>
      </w:pPr>
    </w:p>
    <w:p w:rsidR="004D1F04" w:rsidRPr="00AF6BD6" w:rsidRDefault="004D1F04" w:rsidP="00AF6BD6">
      <w:pPr>
        <w:spacing w:line="360" w:lineRule="auto"/>
        <w:jc w:val="both"/>
        <w:rPr>
          <w:rFonts w:ascii="Arial" w:hAnsi="Arial"/>
        </w:rPr>
      </w:pPr>
    </w:p>
    <w:p w:rsidR="00AF6BD6" w:rsidRPr="0037670C" w:rsidRDefault="00AF6BD6" w:rsidP="0037670C">
      <w:pPr>
        <w:spacing w:line="360" w:lineRule="auto"/>
        <w:ind w:left="540"/>
        <w:jc w:val="both"/>
        <w:rPr>
          <w:rFonts w:ascii="Arial" w:hAnsi="Arial"/>
          <w:i/>
          <w:u w:val="single"/>
        </w:rPr>
      </w:pPr>
      <w:r w:rsidRPr="0037670C">
        <w:rPr>
          <w:rFonts w:ascii="Arial" w:hAnsi="Arial"/>
          <w:i/>
          <w:u w:val="single"/>
        </w:rPr>
        <w:t>Password Security</w:t>
      </w:r>
    </w:p>
    <w:p w:rsidR="0037670C" w:rsidRDefault="0037670C" w:rsidP="0037670C">
      <w:pPr>
        <w:spacing w:line="360" w:lineRule="auto"/>
        <w:ind w:left="360"/>
        <w:jc w:val="both"/>
        <w:rPr>
          <w:rFonts w:ascii="Arial" w:hAnsi="Arial"/>
        </w:rPr>
      </w:pPr>
    </w:p>
    <w:p w:rsidR="00AF6BD6" w:rsidRPr="00AF6BD6" w:rsidRDefault="00606EAF" w:rsidP="0037670C">
      <w:pPr>
        <w:spacing w:line="360" w:lineRule="auto"/>
        <w:ind w:left="540"/>
        <w:jc w:val="both"/>
        <w:rPr>
          <w:rFonts w:ascii="Arial" w:hAnsi="Arial"/>
        </w:rPr>
      </w:pPr>
      <w:r>
        <w:rPr>
          <w:rFonts w:ascii="Arial" w:hAnsi="Arial"/>
        </w:rPr>
        <w:t xml:space="preserve">Users have </w:t>
      </w:r>
      <w:r w:rsidR="00AF6BD6" w:rsidRPr="00AF6BD6">
        <w:rPr>
          <w:rFonts w:ascii="Arial" w:hAnsi="Arial"/>
        </w:rPr>
        <w:t>unique user ID</w:t>
      </w:r>
      <w:r>
        <w:rPr>
          <w:rFonts w:ascii="Arial" w:hAnsi="Arial"/>
        </w:rPr>
        <w:t>s</w:t>
      </w:r>
      <w:r w:rsidR="00AF6BD6" w:rsidRPr="00AF6BD6">
        <w:rPr>
          <w:rFonts w:ascii="Arial" w:hAnsi="Arial"/>
        </w:rPr>
        <w:t xml:space="preserve"> and password</w:t>
      </w:r>
      <w:r>
        <w:rPr>
          <w:rFonts w:ascii="Arial" w:hAnsi="Arial"/>
        </w:rPr>
        <w:t>s</w:t>
      </w:r>
      <w:r w:rsidR="002E1942">
        <w:rPr>
          <w:rFonts w:ascii="Arial" w:hAnsi="Arial"/>
        </w:rPr>
        <w:t xml:space="preserve"> t</w:t>
      </w:r>
      <w:r w:rsidR="00AF6BD6" w:rsidRPr="00AF6BD6">
        <w:rPr>
          <w:rFonts w:ascii="Arial" w:hAnsi="Arial"/>
        </w:rPr>
        <w:t>o access the network and various system</w:t>
      </w:r>
      <w:r w:rsidR="002E1942">
        <w:rPr>
          <w:rFonts w:ascii="Arial" w:hAnsi="Arial"/>
        </w:rPr>
        <w:t>s.  Also,</w:t>
      </w:r>
      <w:r w:rsidR="00AF6BD6" w:rsidRPr="00AF6BD6">
        <w:rPr>
          <w:rFonts w:ascii="Arial" w:hAnsi="Arial"/>
        </w:rPr>
        <w:t xml:space="preserve"> passwords have a high level of complexity</w:t>
      </w:r>
      <w:r w:rsidR="002E1942">
        <w:rPr>
          <w:rFonts w:ascii="Arial" w:hAnsi="Arial"/>
        </w:rPr>
        <w:t xml:space="preserve"> and </w:t>
      </w:r>
      <w:r w:rsidR="00AF6BD6" w:rsidRPr="00AF6BD6">
        <w:rPr>
          <w:rFonts w:ascii="Arial" w:hAnsi="Arial"/>
        </w:rPr>
        <w:t>are masked when entered on the screen.</w:t>
      </w:r>
      <w:r w:rsidR="002E1942">
        <w:rPr>
          <w:rFonts w:ascii="Arial" w:hAnsi="Arial"/>
        </w:rPr>
        <w:t xml:space="preserve">  Further, p</w:t>
      </w:r>
      <w:r w:rsidR="00AF6BD6" w:rsidRPr="00AF6BD6">
        <w:rPr>
          <w:rFonts w:ascii="Arial" w:hAnsi="Arial"/>
        </w:rPr>
        <w:t>asswords are stored in such a way that they cannot be viewed o</w:t>
      </w:r>
      <w:r w:rsidR="000E2637">
        <w:rPr>
          <w:rFonts w:ascii="Arial" w:hAnsi="Arial"/>
        </w:rPr>
        <w:t>r</w:t>
      </w:r>
      <w:r w:rsidR="00AF6BD6" w:rsidRPr="00AF6BD6">
        <w:rPr>
          <w:rFonts w:ascii="Arial" w:hAnsi="Arial"/>
        </w:rPr>
        <w:t xml:space="preserve"> accessed by a system </w:t>
      </w:r>
      <w:r w:rsidR="002E1942">
        <w:rPr>
          <w:rFonts w:ascii="Arial" w:hAnsi="Arial"/>
        </w:rPr>
        <w:t>administrator, and u</w:t>
      </w:r>
      <w:r w:rsidR="00AF6BD6" w:rsidRPr="00AF6BD6">
        <w:rPr>
          <w:rFonts w:ascii="Arial" w:hAnsi="Arial"/>
        </w:rPr>
        <w:t>sers are trained regarding the proper handling of their user ID and password.</w:t>
      </w:r>
    </w:p>
    <w:p w:rsidR="007D3536" w:rsidRPr="00AF6BD6" w:rsidRDefault="007D3536" w:rsidP="00AF6BD6">
      <w:pPr>
        <w:spacing w:line="360" w:lineRule="auto"/>
        <w:jc w:val="both"/>
        <w:rPr>
          <w:rFonts w:ascii="Arial" w:hAnsi="Arial"/>
        </w:rPr>
      </w:pPr>
    </w:p>
    <w:p w:rsidR="00AF6BD6" w:rsidRPr="0037670C" w:rsidRDefault="00AF6BD6" w:rsidP="0037670C">
      <w:pPr>
        <w:spacing w:line="360" w:lineRule="auto"/>
        <w:ind w:left="540"/>
        <w:jc w:val="both"/>
        <w:rPr>
          <w:rFonts w:ascii="Arial" w:hAnsi="Arial"/>
          <w:i/>
          <w:u w:val="single"/>
        </w:rPr>
      </w:pPr>
      <w:r w:rsidRPr="0037670C">
        <w:rPr>
          <w:rFonts w:ascii="Arial" w:hAnsi="Arial"/>
          <w:i/>
          <w:u w:val="single"/>
        </w:rPr>
        <w:t>Access Controls</w:t>
      </w:r>
    </w:p>
    <w:p w:rsidR="0037670C" w:rsidRDefault="0037670C" w:rsidP="00C27C3F">
      <w:pPr>
        <w:spacing w:line="360" w:lineRule="auto"/>
        <w:ind w:left="360"/>
        <w:jc w:val="both"/>
        <w:rPr>
          <w:rFonts w:ascii="Arial" w:hAnsi="Arial"/>
        </w:rPr>
      </w:pPr>
    </w:p>
    <w:p w:rsidR="00831515" w:rsidRDefault="00933629" w:rsidP="0037670C">
      <w:pPr>
        <w:spacing w:line="360" w:lineRule="auto"/>
        <w:ind w:left="540"/>
        <w:jc w:val="both"/>
        <w:rPr>
          <w:rFonts w:ascii="Arial" w:hAnsi="Arial"/>
        </w:rPr>
      </w:pPr>
      <w:r>
        <w:rPr>
          <w:rFonts w:ascii="Arial" w:hAnsi="Arial"/>
        </w:rPr>
        <w:t xml:space="preserve">The </w:t>
      </w:r>
      <w:r w:rsidR="00494FCD">
        <w:rPr>
          <w:rFonts w:ascii="Arial" w:hAnsi="Arial"/>
        </w:rPr>
        <w:t>School</w:t>
      </w:r>
      <w:r w:rsidR="00AF6BD6" w:rsidRPr="00AF6BD6">
        <w:rPr>
          <w:rFonts w:ascii="Arial" w:hAnsi="Arial"/>
        </w:rPr>
        <w:t xml:space="preserve"> utilizes a Windows 2008 R2 Active Directory for user and file access permissions in a redundant do</w:t>
      </w:r>
      <w:r>
        <w:rPr>
          <w:rFonts w:ascii="Arial" w:hAnsi="Arial"/>
        </w:rPr>
        <w:t>main controller setup.  Luskin f</w:t>
      </w:r>
      <w:r w:rsidR="00AF6BD6" w:rsidRPr="00AF6BD6">
        <w:rPr>
          <w:rFonts w:ascii="Arial" w:hAnsi="Arial"/>
        </w:rPr>
        <w:t>ile servers</w:t>
      </w:r>
      <w:r w:rsidR="00607FA9">
        <w:rPr>
          <w:rFonts w:ascii="Arial" w:hAnsi="Arial"/>
        </w:rPr>
        <w:t xml:space="preserve"> run</w:t>
      </w:r>
      <w:r w:rsidR="00AF6BD6" w:rsidRPr="00AF6BD6">
        <w:rPr>
          <w:rFonts w:ascii="Arial" w:hAnsi="Arial"/>
        </w:rPr>
        <w:t xml:space="preserve"> Windows 2008 R2 with u</w:t>
      </w:r>
      <w:r w:rsidR="001E7B07">
        <w:rPr>
          <w:rFonts w:ascii="Arial" w:hAnsi="Arial"/>
        </w:rPr>
        <w:t>p-to-</w:t>
      </w:r>
      <w:r w:rsidR="00AF6BD6" w:rsidRPr="00AF6BD6">
        <w:rPr>
          <w:rFonts w:ascii="Arial" w:hAnsi="Arial"/>
        </w:rPr>
        <w:t>date patches.  File permissions are set by security groups</w:t>
      </w:r>
      <w:r w:rsidR="00831515">
        <w:rPr>
          <w:rFonts w:ascii="Arial" w:hAnsi="Arial"/>
        </w:rPr>
        <w:t>,</w:t>
      </w:r>
      <w:r w:rsidR="00AF6BD6" w:rsidRPr="00AF6BD6">
        <w:rPr>
          <w:rFonts w:ascii="Arial" w:hAnsi="Arial"/>
        </w:rPr>
        <w:t xml:space="preserve"> and individual permissions </w:t>
      </w:r>
      <w:r w:rsidR="007D7D5E">
        <w:rPr>
          <w:rFonts w:ascii="Arial" w:hAnsi="Arial"/>
        </w:rPr>
        <w:t xml:space="preserve">are </w:t>
      </w:r>
      <w:r w:rsidR="00AF6BD6" w:rsidRPr="00AF6BD6">
        <w:rPr>
          <w:rFonts w:ascii="Arial" w:hAnsi="Arial"/>
        </w:rPr>
        <w:t>based on departmental groupings</w:t>
      </w:r>
      <w:r w:rsidR="007D7D5E">
        <w:rPr>
          <w:rFonts w:ascii="Arial" w:hAnsi="Arial"/>
        </w:rPr>
        <w:t>,</w:t>
      </w:r>
      <w:r w:rsidR="00AF6BD6" w:rsidRPr="00AF6BD6">
        <w:rPr>
          <w:rFonts w:ascii="Arial" w:hAnsi="Arial"/>
        </w:rPr>
        <w:t xml:space="preserve"> restricting access to necessary files and folders.  </w:t>
      </w:r>
    </w:p>
    <w:p w:rsidR="00831515" w:rsidRDefault="00831515" w:rsidP="00C27C3F">
      <w:pPr>
        <w:spacing w:line="360" w:lineRule="auto"/>
        <w:ind w:left="360"/>
        <w:jc w:val="both"/>
        <w:rPr>
          <w:rFonts w:ascii="Arial" w:hAnsi="Arial"/>
        </w:rPr>
      </w:pPr>
    </w:p>
    <w:p w:rsidR="00AF6BD6" w:rsidRPr="00AF6BD6" w:rsidRDefault="00AF6BD6" w:rsidP="0037670C">
      <w:pPr>
        <w:spacing w:line="360" w:lineRule="auto"/>
        <w:ind w:left="540"/>
        <w:jc w:val="both"/>
        <w:rPr>
          <w:rFonts w:ascii="Arial" w:hAnsi="Arial"/>
        </w:rPr>
      </w:pPr>
      <w:r w:rsidRPr="00AF6BD6">
        <w:rPr>
          <w:rFonts w:ascii="Arial" w:hAnsi="Arial"/>
        </w:rPr>
        <w:t>User accounts are reviewed every quarter</w:t>
      </w:r>
      <w:r w:rsidR="007D7D5E">
        <w:rPr>
          <w:rFonts w:ascii="Arial" w:hAnsi="Arial"/>
        </w:rPr>
        <w:t xml:space="preserve"> by management</w:t>
      </w:r>
      <w:r w:rsidRPr="00AF6BD6">
        <w:rPr>
          <w:rFonts w:ascii="Arial" w:hAnsi="Arial"/>
        </w:rPr>
        <w:t xml:space="preserve">.  </w:t>
      </w:r>
      <w:r w:rsidR="007D7D5E">
        <w:rPr>
          <w:rFonts w:ascii="Arial" w:hAnsi="Arial"/>
        </w:rPr>
        <w:t>Also, s</w:t>
      </w:r>
      <w:r w:rsidR="00A43F76">
        <w:rPr>
          <w:rFonts w:ascii="Arial" w:hAnsi="Arial"/>
        </w:rPr>
        <w:t xml:space="preserve">tudent accounts are </w:t>
      </w:r>
      <w:r w:rsidR="00184B78">
        <w:rPr>
          <w:rFonts w:ascii="Arial" w:hAnsi="Arial"/>
        </w:rPr>
        <w:t>maintained separately, in order</w:t>
      </w:r>
      <w:r w:rsidRPr="00AF6BD6">
        <w:rPr>
          <w:rFonts w:ascii="Arial" w:hAnsi="Arial"/>
        </w:rPr>
        <w:t xml:space="preserve"> to prevent unintentional access to additional resources.  </w:t>
      </w:r>
      <w:r w:rsidR="00831515">
        <w:rPr>
          <w:rFonts w:ascii="Arial" w:hAnsi="Arial"/>
        </w:rPr>
        <w:t>Additionally</w:t>
      </w:r>
      <w:r w:rsidRPr="00AF6BD6">
        <w:rPr>
          <w:rFonts w:ascii="Arial" w:hAnsi="Arial"/>
        </w:rPr>
        <w:t>, student files are housed on a separate file s</w:t>
      </w:r>
      <w:r w:rsidR="00F3391A">
        <w:rPr>
          <w:rFonts w:ascii="Arial" w:hAnsi="Arial"/>
        </w:rPr>
        <w:t>erver running Windows 2008 R2, and s</w:t>
      </w:r>
      <w:r w:rsidRPr="00AF6BD6">
        <w:rPr>
          <w:rFonts w:ascii="Arial" w:hAnsi="Arial"/>
        </w:rPr>
        <w:t>tudent accounts are created with expiration</w:t>
      </w:r>
      <w:r w:rsidR="00F3391A">
        <w:rPr>
          <w:rFonts w:ascii="Arial" w:hAnsi="Arial"/>
        </w:rPr>
        <w:t xml:space="preserve"> dates to prevent unauthorized u</w:t>
      </w:r>
      <w:r w:rsidRPr="00AF6BD6">
        <w:rPr>
          <w:rFonts w:ascii="Arial" w:hAnsi="Arial"/>
        </w:rPr>
        <w:t xml:space="preserve">sage after a student graduates.  </w:t>
      </w:r>
    </w:p>
    <w:p w:rsidR="00AF6BD6" w:rsidRPr="00AF6BD6" w:rsidRDefault="00AF6BD6" w:rsidP="00AF6BD6">
      <w:pPr>
        <w:spacing w:line="360" w:lineRule="auto"/>
        <w:jc w:val="both"/>
        <w:rPr>
          <w:rFonts w:ascii="Arial" w:hAnsi="Arial"/>
        </w:rPr>
      </w:pPr>
      <w:r w:rsidRPr="00AF6BD6">
        <w:rPr>
          <w:rFonts w:ascii="Arial" w:hAnsi="Arial"/>
        </w:rPr>
        <w:t> </w:t>
      </w:r>
    </w:p>
    <w:p w:rsidR="00AF6BD6" w:rsidRPr="0037670C" w:rsidRDefault="00AF6BD6" w:rsidP="0037670C">
      <w:pPr>
        <w:spacing w:line="360" w:lineRule="auto"/>
        <w:ind w:left="540"/>
        <w:jc w:val="both"/>
        <w:rPr>
          <w:rFonts w:ascii="Arial" w:hAnsi="Arial"/>
          <w:i/>
          <w:u w:val="single"/>
        </w:rPr>
      </w:pPr>
      <w:r w:rsidRPr="0037670C">
        <w:rPr>
          <w:rFonts w:ascii="Arial" w:hAnsi="Arial"/>
          <w:i/>
          <w:u w:val="single"/>
        </w:rPr>
        <w:t>Network Security</w:t>
      </w:r>
    </w:p>
    <w:p w:rsidR="0037670C" w:rsidRDefault="0037670C" w:rsidP="00C27C3F">
      <w:pPr>
        <w:spacing w:line="360" w:lineRule="auto"/>
        <w:ind w:left="360"/>
        <w:jc w:val="both"/>
        <w:rPr>
          <w:rFonts w:ascii="Arial" w:hAnsi="Arial"/>
        </w:rPr>
      </w:pPr>
    </w:p>
    <w:p w:rsidR="00AF6BD6" w:rsidRPr="00AF6BD6" w:rsidRDefault="008A22BE" w:rsidP="00593B4F">
      <w:pPr>
        <w:spacing w:line="360" w:lineRule="auto"/>
        <w:ind w:left="540"/>
        <w:jc w:val="both"/>
        <w:rPr>
          <w:rFonts w:ascii="Arial" w:hAnsi="Arial"/>
        </w:rPr>
      </w:pPr>
      <w:r>
        <w:rPr>
          <w:rFonts w:ascii="Arial" w:hAnsi="Arial"/>
        </w:rPr>
        <w:t xml:space="preserve">The </w:t>
      </w:r>
      <w:r w:rsidR="00494FCD">
        <w:rPr>
          <w:rFonts w:ascii="Arial" w:hAnsi="Arial"/>
        </w:rPr>
        <w:t>School</w:t>
      </w:r>
      <w:r w:rsidR="00AF6BD6" w:rsidRPr="00AF6BD6">
        <w:rPr>
          <w:rFonts w:ascii="Arial" w:hAnsi="Arial"/>
        </w:rPr>
        <w:t xml:space="preserve"> utilizes multiple security features offered by Cisco.  </w:t>
      </w:r>
      <w:r w:rsidR="003C6ACE">
        <w:rPr>
          <w:rFonts w:ascii="Arial" w:hAnsi="Arial"/>
        </w:rPr>
        <w:t>S</w:t>
      </w:r>
      <w:r w:rsidR="00AF6BD6" w:rsidRPr="00AF6BD6">
        <w:rPr>
          <w:rFonts w:ascii="Arial" w:hAnsi="Arial"/>
        </w:rPr>
        <w:t xml:space="preserve">ecurity features include a redundant supervisor engine to handle </w:t>
      </w:r>
      <w:r w:rsidR="003C6ACE">
        <w:rPr>
          <w:rFonts w:ascii="Arial" w:hAnsi="Arial"/>
        </w:rPr>
        <w:t xml:space="preserve">access control lists, </w:t>
      </w:r>
      <w:r w:rsidR="00AF6BD6" w:rsidRPr="00AF6BD6">
        <w:rPr>
          <w:rFonts w:ascii="Arial" w:hAnsi="Arial"/>
        </w:rPr>
        <w:t xml:space="preserve">limiting network connections from outside </w:t>
      </w:r>
      <w:r w:rsidR="00772405">
        <w:rPr>
          <w:rFonts w:ascii="Arial" w:hAnsi="Arial"/>
        </w:rPr>
        <w:t xml:space="preserve">the </w:t>
      </w:r>
      <w:r w:rsidR="00494FCD">
        <w:rPr>
          <w:rFonts w:ascii="Arial" w:hAnsi="Arial"/>
        </w:rPr>
        <w:t>School</w:t>
      </w:r>
      <w:r w:rsidR="00AF6BD6" w:rsidRPr="00AF6BD6">
        <w:rPr>
          <w:rFonts w:ascii="Arial" w:hAnsi="Arial"/>
        </w:rPr>
        <w:t xml:space="preserve"> into Luskin</w:t>
      </w:r>
      <w:r w:rsidR="00772405">
        <w:rPr>
          <w:rFonts w:ascii="Arial" w:hAnsi="Arial"/>
        </w:rPr>
        <w:t>’s</w:t>
      </w:r>
      <w:r w:rsidR="00BA6790">
        <w:rPr>
          <w:rFonts w:ascii="Arial" w:hAnsi="Arial"/>
        </w:rPr>
        <w:t xml:space="preserve"> network infrastructure, and</w:t>
      </w:r>
      <w:r w:rsidR="00AF6BD6" w:rsidRPr="00AF6BD6">
        <w:rPr>
          <w:rFonts w:ascii="Arial" w:hAnsi="Arial"/>
        </w:rPr>
        <w:t xml:space="preserve"> restrict</w:t>
      </w:r>
      <w:r w:rsidR="00BA6790">
        <w:rPr>
          <w:rFonts w:ascii="Arial" w:hAnsi="Arial"/>
        </w:rPr>
        <w:t>ing</w:t>
      </w:r>
      <w:r w:rsidR="00AF6BD6" w:rsidRPr="00AF6BD6">
        <w:rPr>
          <w:rFonts w:ascii="Arial" w:hAnsi="Arial"/>
        </w:rPr>
        <w:t xml:space="preserve"> network access within </w:t>
      </w:r>
      <w:r w:rsidR="00A470CE">
        <w:rPr>
          <w:rFonts w:ascii="Arial" w:hAnsi="Arial"/>
        </w:rPr>
        <w:t xml:space="preserve">the </w:t>
      </w:r>
      <w:r w:rsidR="00494FCD">
        <w:rPr>
          <w:rFonts w:ascii="Arial" w:hAnsi="Arial"/>
        </w:rPr>
        <w:t>School</w:t>
      </w:r>
      <w:r w:rsidR="00AF6BD6" w:rsidRPr="00AF6BD6">
        <w:rPr>
          <w:rFonts w:ascii="Arial" w:hAnsi="Arial"/>
        </w:rPr>
        <w:t xml:space="preserve"> to only the necessary functionality such as network printing, network file shares, user authentication, and web access.  </w:t>
      </w:r>
      <w:r w:rsidR="003C6ACE">
        <w:rPr>
          <w:rFonts w:ascii="Arial" w:hAnsi="Arial"/>
        </w:rPr>
        <w:t>Also,</w:t>
      </w:r>
      <w:r w:rsidR="00AF6BD6" w:rsidRPr="00AF6BD6">
        <w:rPr>
          <w:rFonts w:ascii="Arial" w:hAnsi="Arial"/>
        </w:rPr>
        <w:t xml:space="preserve"> a firewall blade</w:t>
      </w:r>
      <w:r w:rsidR="003C6ACE">
        <w:rPr>
          <w:rFonts w:ascii="Arial" w:hAnsi="Arial"/>
        </w:rPr>
        <w:t xml:space="preserve"> is</w:t>
      </w:r>
      <w:r w:rsidR="00AF6BD6" w:rsidRPr="00AF6BD6">
        <w:rPr>
          <w:rFonts w:ascii="Arial" w:hAnsi="Arial"/>
        </w:rPr>
        <w:t xml:space="preserve"> installed on the router to assist in preventing unauthorized network access.  </w:t>
      </w:r>
    </w:p>
    <w:p w:rsidR="00AF6BD6" w:rsidRPr="0037670C" w:rsidRDefault="00AF6BD6" w:rsidP="0037670C">
      <w:pPr>
        <w:spacing w:line="360" w:lineRule="auto"/>
        <w:ind w:left="540"/>
        <w:jc w:val="both"/>
        <w:rPr>
          <w:rFonts w:ascii="Arial" w:hAnsi="Arial"/>
          <w:i/>
          <w:u w:val="single"/>
        </w:rPr>
      </w:pPr>
      <w:r w:rsidRPr="0037670C">
        <w:rPr>
          <w:rFonts w:ascii="Arial" w:hAnsi="Arial"/>
          <w:i/>
          <w:u w:val="single"/>
        </w:rPr>
        <w:t>Desktop Security</w:t>
      </w:r>
    </w:p>
    <w:p w:rsidR="0037670C" w:rsidRDefault="0037670C" w:rsidP="003C6ACE">
      <w:pPr>
        <w:spacing w:line="360" w:lineRule="auto"/>
        <w:ind w:left="360"/>
        <w:jc w:val="both"/>
        <w:rPr>
          <w:rFonts w:ascii="Arial" w:hAnsi="Arial"/>
        </w:rPr>
      </w:pPr>
    </w:p>
    <w:p w:rsidR="008A22BE" w:rsidRDefault="00AF6BD6" w:rsidP="0037670C">
      <w:pPr>
        <w:spacing w:line="360" w:lineRule="auto"/>
        <w:ind w:left="540"/>
        <w:jc w:val="both"/>
        <w:rPr>
          <w:rFonts w:ascii="Arial" w:hAnsi="Arial"/>
        </w:rPr>
      </w:pPr>
      <w:r w:rsidRPr="00AF6BD6">
        <w:rPr>
          <w:rFonts w:ascii="Arial" w:hAnsi="Arial"/>
        </w:rPr>
        <w:t>Desktops require an Active Directory log-on for desktop security, and have a h</w:t>
      </w:r>
      <w:r w:rsidR="008A22BE">
        <w:rPr>
          <w:rFonts w:ascii="Arial" w:hAnsi="Arial"/>
        </w:rPr>
        <w:t xml:space="preserve">ost of virus scanning software </w:t>
      </w:r>
      <w:r w:rsidRPr="00AF6BD6">
        <w:rPr>
          <w:rFonts w:ascii="Arial" w:hAnsi="Arial"/>
        </w:rPr>
        <w:t>and built in security updates.  Group policy enforcement adds additional security measures such as minimum length for password</w:t>
      </w:r>
      <w:r w:rsidR="003C6ACE">
        <w:rPr>
          <w:rFonts w:ascii="Arial" w:hAnsi="Arial"/>
        </w:rPr>
        <w:t>,</w:t>
      </w:r>
      <w:r w:rsidRPr="00AF6BD6">
        <w:rPr>
          <w:rFonts w:ascii="Arial" w:hAnsi="Arial"/>
        </w:rPr>
        <w:t xml:space="preserve"> as well as enforcing password complexity. </w:t>
      </w:r>
    </w:p>
    <w:p w:rsidR="008A22BE" w:rsidRDefault="008A22BE" w:rsidP="003C6ACE">
      <w:pPr>
        <w:spacing w:line="360" w:lineRule="auto"/>
        <w:ind w:left="360"/>
        <w:jc w:val="both"/>
        <w:rPr>
          <w:rFonts w:ascii="Arial" w:hAnsi="Arial"/>
        </w:rPr>
      </w:pPr>
    </w:p>
    <w:p w:rsidR="00AF6BD6" w:rsidRPr="003C6ACE" w:rsidRDefault="003C6ACE" w:rsidP="0037670C">
      <w:pPr>
        <w:spacing w:line="360" w:lineRule="auto"/>
        <w:ind w:left="540"/>
        <w:jc w:val="both"/>
        <w:rPr>
          <w:rFonts w:ascii="Arial" w:hAnsi="Arial"/>
        </w:rPr>
      </w:pPr>
      <w:r>
        <w:rPr>
          <w:rFonts w:ascii="Arial" w:hAnsi="Arial"/>
        </w:rPr>
        <w:t xml:space="preserve">Also, other group policy enforcements include restricting </w:t>
      </w:r>
      <w:r w:rsidR="00AF6BD6" w:rsidRPr="003C6ACE">
        <w:rPr>
          <w:rFonts w:ascii="Arial" w:hAnsi="Arial"/>
        </w:rPr>
        <w:t>workstation access to features such as the command line</w:t>
      </w:r>
      <w:r>
        <w:rPr>
          <w:rFonts w:ascii="Arial" w:hAnsi="Arial"/>
        </w:rPr>
        <w:t>, a</w:t>
      </w:r>
      <w:r w:rsidR="00AF6BD6" w:rsidRPr="003C6ACE">
        <w:rPr>
          <w:rFonts w:ascii="Arial" w:hAnsi="Arial"/>
        </w:rPr>
        <w:t>ccount lockout after a certain number of failed log-on attempts</w:t>
      </w:r>
      <w:r>
        <w:rPr>
          <w:rFonts w:ascii="Arial" w:hAnsi="Arial"/>
        </w:rPr>
        <w:t xml:space="preserve">, logging </w:t>
      </w:r>
      <w:r w:rsidR="00AF6BD6" w:rsidRPr="003C6ACE">
        <w:rPr>
          <w:rFonts w:ascii="Arial" w:hAnsi="Arial"/>
        </w:rPr>
        <w:t>account log-on successes and failures for auditing purposes</w:t>
      </w:r>
      <w:r>
        <w:rPr>
          <w:rFonts w:ascii="Arial" w:hAnsi="Arial"/>
        </w:rPr>
        <w:t>, and r</w:t>
      </w:r>
      <w:r w:rsidR="00AF6BD6" w:rsidRPr="003C6ACE">
        <w:rPr>
          <w:rFonts w:ascii="Arial" w:hAnsi="Arial"/>
        </w:rPr>
        <w:t>estrict</w:t>
      </w:r>
      <w:r>
        <w:rPr>
          <w:rFonts w:ascii="Arial" w:hAnsi="Arial"/>
        </w:rPr>
        <w:t>ing</w:t>
      </w:r>
      <w:r w:rsidR="00AF6BD6" w:rsidRPr="003C6ACE">
        <w:rPr>
          <w:rFonts w:ascii="Arial" w:hAnsi="Arial"/>
        </w:rPr>
        <w:t xml:space="preserve"> users from installing software on desktops.</w:t>
      </w:r>
    </w:p>
    <w:p w:rsidR="00AF6BD6" w:rsidRPr="00AF6BD6" w:rsidRDefault="00AF6BD6" w:rsidP="00AF6BD6">
      <w:pPr>
        <w:spacing w:line="360" w:lineRule="auto"/>
        <w:jc w:val="both"/>
        <w:rPr>
          <w:rFonts w:ascii="Arial" w:hAnsi="Arial"/>
        </w:rPr>
      </w:pPr>
      <w:r w:rsidRPr="00AF6BD6">
        <w:rPr>
          <w:rFonts w:ascii="Arial" w:hAnsi="Arial"/>
        </w:rPr>
        <w:t> </w:t>
      </w:r>
    </w:p>
    <w:p w:rsidR="00AF6BD6" w:rsidRDefault="00AF6BD6" w:rsidP="0037670C">
      <w:pPr>
        <w:pStyle w:val="ListParagraph"/>
        <w:spacing w:line="360" w:lineRule="auto"/>
        <w:ind w:left="540"/>
        <w:jc w:val="both"/>
        <w:rPr>
          <w:rFonts w:ascii="Arial" w:hAnsi="Arial"/>
          <w:i/>
          <w:u w:val="single"/>
        </w:rPr>
      </w:pPr>
      <w:r w:rsidRPr="0037670C">
        <w:rPr>
          <w:rFonts w:ascii="Arial" w:hAnsi="Arial"/>
          <w:i/>
          <w:u w:val="single"/>
        </w:rPr>
        <w:t>Patch Management</w:t>
      </w:r>
    </w:p>
    <w:p w:rsidR="0037670C" w:rsidRPr="0037670C" w:rsidRDefault="0037670C" w:rsidP="0037670C">
      <w:pPr>
        <w:pStyle w:val="ListParagraph"/>
        <w:spacing w:line="360" w:lineRule="auto"/>
        <w:ind w:left="540"/>
        <w:jc w:val="both"/>
        <w:rPr>
          <w:rFonts w:ascii="Arial" w:hAnsi="Arial"/>
          <w:i/>
          <w:u w:val="single"/>
        </w:rPr>
      </w:pPr>
    </w:p>
    <w:p w:rsidR="00AF6BD6" w:rsidRPr="00AF6BD6" w:rsidRDefault="00C65A42" w:rsidP="0037670C">
      <w:pPr>
        <w:spacing w:line="360" w:lineRule="auto"/>
        <w:ind w:left="540"/>
        <w:jc w:val="both"/>
        <w:rPr>
          <w:rFonts w:ascii="Arial" w:hAnsi="Arial"/>
        </w:rPr>
      </w:pPr>
      <w:r>
        <w:rPr>
          <w:rFonts w:ascii="Arial" w:hAnsi="Arial"/>
        </w:rPr>
        <w:t>Regular m</w:t>
      </w:r>
      <w:r w:rsidR="00AF6BD6" w:rsidRPr="00AF6BD6">
        <w:rPr>
          <w:rFonts w:ascii="Arial" w:hAnsi="Arial"/>
        </w:rPr>
        <w:t xml:space="preserve">aintenance is performed to patch software, and to implement anti-virus and anti-spyware measures.  Patches are administered monthly for regular updates, or immediately for emergency updates.  </w:t>
      </w:r>
    </w:p>
    <w:p w:rsidR="00AF6BD6" w:rsidRPr="00AF6BD6" w:rsidRDefault="00AF6BD6" w:rsidP="00AF6BD6">
      <w:pPr>
        <w:spacing w:line="360" w:lineRule="auto"/>
        <w:jc w:val="both"/>
        <w:rPr>
          <w:rFonts w:ascii="Arial" w:hAnsi="Arial"/>
        </w:rPr>
      </w:pPr>
      <w:r w:rsidRPr="00AF6BD6">
        <w:rPr>
          <w:rFonts w:ascii="Arial" w:hAnsi="Arial"/>
        </w:rPr>
        <w:t> </w:t>
      </w:r>
    </w:p>
    <w:p w:rsidR="00AF6BD6" w:rsidRPr="0037670C" w:rsidRDefault="00AF6BD6" w:rsidP="0037670C">
      <w:pPr>
        <w:spacing w:line="360" w:lineRule="auto"/>
        <w:ind w:left="540"/>
        <w:jc w:val="both"/>
        <w:rPr>
          <w:rFonts w:ascii="Arial" w:hAnsi="Arial"/>
          <w:i/>
          <w:u w:val="single"/>
        </w:rPr>
      </w:pPr>
      <w:r w:rsidRPr="0037670C">
        <w:rPr>
          <w:rFonts w:ascii="Arial" w:hAnsi="Arial"/>
          <w:i/>
          <w:u w:val="single"/>
        </w:rPr>
        <w:t>Back-up and Recovery</w:t>
      </w:r>
    </w:p>
    <w:p w:rsidR="0037670C" w:rsidRDefault="0037670C" w:rsidP="00BB7708">
      <w:pPr>
        <w:spacing w:line="360" w:lineRule="auto"/>
        <w:ind w:left="360"/>
        <w:jc w:val="both"/>
        <w:rPr>
          <w:rFonts w:ascii="Arial" w:hAnsi="Arial"/>
        </w:rPr>
      </w:pPr>
    </w:p>
    <w:p w:rsidR="0000419E" w:rsidRDefault="0045186B" w:rsidP="0037670C">
      <w:pPr>
        <w:spacing w:line="360" w:lineRule="auto"/>
        <w:ind w:left="540"/>
        <w:jc w:val="both"/>
        <w:rPr>
          <w:rFonts w:ascii="Arial" w:hAnsi="Arial"/>
        </w:rPr>
      </w:pPr>
      <w:r>
        <w:rPr>
          <w:rFonts w:ascii="Arial" w:hAnsi="Arial"/>
        </w:rPr>
        <w:t xml:space="preserve">The </w:t>
      </w:r>
      <w:r w:rsidR="00494FCD">
        <w:rPr>
          <w:rFonts w:ascii="Arial" w:hAnsi="Arial"/>
        </w:rPr>
        <w:t>School</w:t>
      </w:r>
      <w:r w:rsidR="00AF6BD6" w:rsidRPr="00AF6BD6">
        <w:rPr>
          <w:rFonts w:ascii="Arial" w:hAnsi="Arial"/>
        </w:rPr>
        <w:t xml:space="preserve"> uses Veeam Backup &amp; Re</w:t>
      </w:r>
      <w:r w:rsidR="00D241E3">
        <w:rPr>
          <w:rFonts w:ascii="Arial" w:hAnsi="Arial"/>
        </w:rPr>
        <w:t>plication for VMware and a disk-</w:t>
      </w:r>
      <w:r w:rsidR="00AF6BD6" w:rsidRPr="00AF6BD6">
        <w:rPr>
          <w:rFonts w:ascii="Arial" w:hAnsi="Arial"/>
        </w:rPr>
        <w:t>to</w:t>
      </w:r>
      <w:r w:rsidR="00D241E3">
        <w:rPr>
          <w:rFonts w:ascii="Arial" w:hAnsi="Arial"/>
        </w:rPr>
        <w:t>-</w:t>
      </w:r>
      <w:r w:rsidR="00AF6BD6" w:rsidRPr="00AF6BD6">
        <w:rPr>
          <w:rFonts w:ascii="Arial" w:hAnsi="Arial"/>
        </w:rPr>
        <w:t xml:space="preserve">disk backup setup to </w:t>
      </w:r>
      <w:r w:rsidR="00F2019B" w:rsidRPr="00AF6BD6">
        <w:rPr>
          <w:rFonts w:ascii="Arial" w:hAnsi="Arial"/>
        </w:rPr>
        <w:t>back up</w:t>
      </w:r>
      <w:r w:rsidR="00AF6BD6" w:rsidRPr="00AF6BD6">
        <w:rPr>
          <w:rFonts w:ascii="Arial" w:hAnsi="Arial"/>
        </w:rPr>
        <w:t xml:space="preserve"> the entire virt</w:t>
      </w:r>
      <w:r w:rsidR="0000419E">
        <w:rPr>
          <w:rFonts w:ascii="Arial" w:hAnsi="Arial"/>
        </w:rPr>
        <w:t>ual machine (VM) environment.  A f</w:t>
      </w:r>
      <w:r w:rsidR="00AF6BD6" w:rsidRPr="00AF6BD6">
        <w:rPr>
          <w:rFonts w:ascii="Arial" w:hAnsi="Arial"/>
        </w:rPr>
        <w:t>ull backup is conducted on</w:t>
      </w:r>
      <w:r w:rsidR="007A347B">
        <w:rPr>
          <w:rFonts w:ascii="Arial" w:hAnsi="Arial"/>
        </w:rPr>
        <w:t>c</w:t>
      </w:r>
      <w:r w:rsidR="00AF6BD6" w:rsidRPr="00AF6BD6">
        <w:rPr>
          <w:rFonts w:ascii="Arial" w:hAnsi="Arial"/>
        </w:rPr>
        <w:t xml:space="preserve">e a </w:t>
      </w:r>
      <w:r w:rsidR="00F2019B" w:rsidRPr="00AF6BD6">
        <w:rPr>
          <w:rFonts w:ascii="Arial" w:hAnsi="Arial"/>
        </w:rPr>
        <w:t>week</w:t>
      </w:r>
      <w:r w:rsidR="00AF6BD6" w:rsidRPr="00AF6BD6">
        <w:rPr>
          <w:rFonts w:ascii="Arial" w:hAnsi="Arial"/>
        </w:rPr>
        <w:t xml:space="preserve"> and incremental backups are conducted daily.  Back-up</w:t>
      </w:r>
      <w:r w:rsidR="0000419E">
        <w:rPr>
          <w:rFonts w:ascii="Arial" w:hAnsi="Arial"/>
        </w:rPr>
        <w:t xml:space="preserve"> data</w:t>
      </w:r>
      <w:r w:rsidR="00AF6BD6" w:rsidRPr="00AF6BD6">
        <w:rPr>
          <w:rFonts w:ascii="Arial" w:hAnsi="Arial"/>
        </w:rPr>
        <w:t xml:space="preserve"> is store</w:t>
      </w:r>
      <w:r w:rsidR="0061225D">
        <w:rPr>
          <w:rFonts w:ascii="Arial" w:hAnsi="Arial"/>
        </w:rPr>
        <w:t>d on a storage-area network</w:t>
      </w:r>
      <w:r w:rsidR="00AF6BD6" w:rsidRPr="00AF6BD6">
        <w:rPr>
          <w:rFonts w:ascii="Arial" w:hAnsi="Arial"/>
        </w:rPr>
        <w:t xml:space="preserve"> in the Social Science Computing (SSC) Server Room.  </w:t>
      </w:r>
    </w:p>
    <w:p w:rsidR="0000419E" w:rsidRDefault="0000419E" w:rsidP="00BB7708">
      <w:pPr>
        <w:spacing w:line="360" w:lineRule="auto"/>
        <w:ind w:left="360"/>
        <w:jc w:val="both"/>
        <w:rPr>
          <w:rFonts w:ascii="Arial" w:hAnsi="Arial"/>
        </w:rPr>
      </w:pPr>
    </w:p>
    <w:p w:rsidR="00AF6BD6" w:rsidRPr="00AF6BD6" w:rsidRDefault="00AF6BD6" w:rsidP="0037670C">
      <w:pPr>
        <w:spacing w:line="360" w:lineRule="auto"/>
        <w:ind w:left="540"/>
        <w:jc w:val="both"/>
        <w:rPr>
          <w:rFonts w:ascii="Arial" w:hAnsi="Arial"/>
        </w:rPr>
      </w:pPr>
      <w:r w:rsidRPr="00AF6BD6">
        <w:rPr>
          <w:rFonts w:ascii="Arial" w:hAnsi="Arial"/>
        </w:rPr>
        <w:t>A status report of the backup process is e-mailed to both the</w:t>
      </w:r>
      <w:r w:rsidR="0000419E">
        <w:rPr>
          <w:rFonts w:ascii="Arial" w:hAnsi="Arial"/>
        </w:rPr>
        <w:t xml:space="preserve"> Luskin IT Directors and the</w:t>
      </w:r>
      <w:r w:rsidR="00E1311F">
        <w:rPr>
          <w:rFonts w:ascii="Arial" w:hAnsi="Arial"/>
        </w:rPr>
        <w:t xml:space="preserve"> SCC</w:t>
      </w:r>
      <w:r w:rsidRPr="00AF6BD6">
        <w:rPr>
          <w:rFonts w:ascii="Arial" w:hAnsi="Arial"/>
        </w:rPr>
        <w:t xml:space="preserve"> system administrators.  The Veeam system maintains a database of the backup events.  A number of Luskin VMs are restored to a test environment to ensure that backups are operati</w:t>
      </w:r>
      <w:r w:rsidR="007A347B">
        <w:rPr>
          <w:rFonts w:ascii="Arial" w:hAnsi="Arial"/>
        </w:rPr>
        <w:t xml:space="preserve">onal.  </w:t>
      </w:r>
      <w:r w:rsidR="002E2E8C">
        <w:rPr>
          <w:rFonts w:ascii="Arial" w:hAnsi="Arial"/>
        </w:rPr>
        <w:t>Also, b</w:t>
      </w:r>
      <w:r w:rsidR="007A347B">
        <w:rPr>
          <w:rFonts w:ascii="Arial" w:hAnsi="Arial"/>
        </w:rPr>
        <w:t xml:space="preserve">ackup media is restored and </w:t>
      </w:r>
      <w:r w:rsidRPr="00AF6BD6">
        <w:rPr>
          <w:rFonts w:ascii="Arial" w:hAnsi="Arial"/>
        </w:rPr>
        <w:t>v</w:t>
      </w:r>
      <w:r w:rsidR="002E2E8C">
        <w:rPr>
          <w:rFonts w:ascii="Arial" w:hAnsi="Arial"/>
        </w:rPr>
        <w:t>alidated every six months.  Further</w:t>
      </w:r>
      <w:r w:rsidRPr="00AF6BD6">
        <w:rPr>
          <w:rFonts w:ascii="Arial" w:hAnsi="Arial"/>
        </w:rPr>
        <w:t xml:space="preserve">, backup and recovery tasks are outsourced to SCC and guaranteed as a part of a service level agreement.  </w:t>
      </w:r>
    </w:p>
    <w:p w:rsidR="00006471" w:rsidRDefault="00AF6BD6" w:rsidP="00006471">
      <w:pPr>
        <w:spacing w:line="360" w:lineRule="auto"/>
        <w:jc w:val="both"/>
        <w:rPr>
          <w:rFonts w:ascii="Arial" w:hAnsi="Arial"/>
        </w:rPr>
      </w:pPr>
      <w:r w:rsidRPr="00AF6BD6">
        <w:rPr>
          <w:rFonts w:ascii="Arial" w:hAnsi="Arial"/>
        </w:rPr>
        <w:t> </w:t>
      </w:r>
    </w:p>
    <w:p w:rsidR="00FA78B3" w:rsidRPr="008776A5" w:rsidRDefault="00FA78B3" w:rsidP="0037670C">
      <w:pPr>
        <w:pStyle w:val="Heading2"/>
        <w:spacing w:before="0" w:line="360" w:lineRule="auto"/>
        <w:jc w:val="center"/>
        <w:rPr>
          <w:rFonts w:ascii="Arial" w:hAnsi="Arial"/>
          <w:b w:val="0"/>
          <w:color w:val="auto"/>
          <w:sz w:val="24"/>
          <w:szCs w:val="24"/>
        </w:rPr>
      </w:pPr>
      <w:bookmarkStart w:id="11" w:name="_Toc453765953"/>
      <w:r w:rsidRPr="008776A5">
        <w:rPr>
          <w:rFonts w:ascii="Arial" w:hAnsi="Arial"/>
          <w:b w:val="0"/>
          <w:color w:val="auto"/>
          <w:sz w:val="24"/>
          <w:szCs w:val="24"/>
          <w:u w:val="single"/>
        </w:rPr>
        <w:t>Gift Funds and Endowments</w:t>
      </w:r>
      <w:bookmarkEnd w:id="11"/>
    </w:p>
    <w:p w:rsidR="00E55599" w:rsidRDefault="00E55599" w:rsidP="0037670C">
      <w:pPr>
        <w:spacing w:line="360" w:lineRule="auto"/>
        <w:jc w:val="both"/>
        <w:rPr>
          <w:rFonts w:ascii="Arial" w:hAnsi="Arial"/>
        </w:rPr>
      </w:pPr>
    </w:p>
    <w:p w:rsidR="00E55599" w:rsidRPr="00E55599" w:rsidRDefault="00964F2A" w:rsidP="0037670C">
      <w:pPr>
        <w:spacing w:line="360" w:lineRule="auto"/>
        <w:jc w:val="both"/>
        <w:rPr>
          <w:rFonts w:ascii="Arial" w:hAnsi="Arial"/>
        </w:rPr>
      </w:pPr>
      <w:r>
        <w:rPr>
          <w:rFonts w:ascii="Arial" w:hAnsi="Arial"/>
        </w:rPr>
        <w:t>Audit review included selecting</w:t>
      </w:r>
      <w:r w:rsidR="00E55599" w:rsidRPr="00E55599">
        <w:rPr>
          <w:rFonts w:ascii="Arial" w:hAnsi="Arial"/>
        </w:rPr>
        <w:t xml:space="preserve"> a samp</w:t>
      </w:r>
      <w:r w:rsidR="0079452B">
        <w:rPr>
          <w:rFonts w:ascii="Arial" w:hAnsi="Arial"/>
        </w:rPr>
        <w:t xml:space="preserve">le of 15 gift funds </w:t>
      </w:r>
      <w:r w:rsidR="00E55599" w:rsidRPr="00E55599">
        <w:rPr>
          <w:rFonts w:ascii="Arial" w:hAnsi="Arial"/>
        </w:rPr>
        <w:t xml:space="preserve">as of </w:t>
      </w:r>
      <w:r>
        <w:rPr>
          <w:rFonts w:ascii="Arial" w:hAnsi="Arial"/>
        </w:rPr>
        <w:t>December 31, 2015</w:t>
      </w:r>
      <w:r w:rsidR="00FB2FD1">
        <w:rPr>
          <w:rFonts w:ascii="Arial" w:hAnsi="Arial"/>
        </w:rPr>
        <w:t>,</w:t>
      </w:r>
      <w:r>
        <w:rPr>
          <w:rFonts w:ascii="Arial" w:hAnsi="Arial"/>
        </w:rPr>
        <w:t xml:space="preserve"> from the campus </w:t>
      </w:r>
      <w:r w:rsidR="00E55599" w:rsidRPr="00E55599">
        <w:rPr>
          <w:rFonts w:ascii="Arial" w:hAnsi="Arial"/>
        </w:rPr>
        <w:t xml:space="preserve">Consolidated Gift Fund Report.  </w:t>
      </w:r>
      <w:r>
        <w:rPr>
          <w:rFonts w:ascii="Arial" w:hAnsi="Arial"/>
        </w:rPr>
        <w:t xml:space="preserve">For each fund, the fund purpose was reviewed and </w:t>
      </w:r>
      <w:r w:rsidR="0079452B">
        <w:rPr>
          <w:rFonts w:ascii="Arial" w:hAnsi="Arial"/>
        </w:rPr>
        <w:t xml:space="preserve">the reasoning for </w:t>
      </w:r>
      <w:r w:rsidR="00E3529F">
        <w:rPr>
          <w:rFonts w:ascii="Arial" w:hAnsi="Arial"/>
        </w:rPr>
        <w:t xml:space="preserve">what appeared to be </w:t>
      </w:r>
      <w:r w:rsidR="0079452B">
        <w:rPr>
          <w:rFonts w:ascii="Arial" w:hAnsi="Arial"/>
        </w:rPr>
        <w:t xml:space="preserve">limited </w:t>
      </w:r>
      <w:r w:rsidR="00FB2FD1">
        <w:rPr>
          <w:rFonts w:ascii="Arial" w:hAnsi="Arial"/>
        </w:rPr>
        <w:t xml:space="preserve">financial </w:t>
      </w:r>
      <w:r w:rsidR="0079452B">
        <w:rPr>
          <w:rFonts w:ascii="Arial" w:hAnsi="Arial"/>
        </w:rPr>
        <w:t xml:space="preserve">activity </w:t>
      </w:r>
      <w:r>
        <w:rPr>
          <w:rFonts w:ascii="Arial" w:hAnsi="Arial"/>
        </w:rPr>
        <w:t>was</w:t>
      </w:r>
      <w:r w:rsidR="00E55599" w:rsidRPr="00E55599">
        <w:rPr>
          <w:rFonts w:ascii="Arial" w:hAnsi="Arial"/>
        </w:rPr>
        <w:t xml:space="preserve"> discussed</w:t>
      </w:r>
      <w:r w:rsidR="006833B8">
        <w:rPr>
          <w:rFonts w:ascii="Arial" w:hAnsi="Arial"/>
        </w:rPr>
        <w:t xml:space="preserve"> with</w:t>
      </w:r>
      <w:r w:rsidR="00E55599" w:rsidRPr="00E55599">
        <w:rPr>
          <w:rFonts w:ascii="Arial" w:hAnsi="Arial"/>
        </w:rPr>
        <w:t xml:space="preserve"> </w:t>
      </w:r>
      <w:r>
        <w:rPr>
          <w:rFonts w:ascii="Arial" w:hAnsi="Arial"/>
        </w:rPr>
        <w:t>management.</w:t>
      </w:r>
      <w:r w:rsidR="00E55599" w:rsidRPr="00E55599">
        <w:rPr>
          <w:rFonts w:ascii="Arial" w:hAnsi="Arial"/>
        </w:rPr>
        <w:t xml:space="preserve">  </w:t>
      </w:r>
    </w:p>
    <w:p w:rsidR="00246989" w:rsidRDefault="00246989" w:rsidP="00E55599">
      <w:pPr>
        <w:spacing w:line="360" w:lineRule="auto"/>
        <w:jc w:val="both"/>
        <w:rPr>
          <w:rFonts w:ascii="Arial" w:hAnsi="Arial"/>
        </w:rPr>
      </w:pPr>
    </w:p>
    <w:p w:rsidR="00E55599" w:rsidRPr="00E55599" w:rsidRDefault="00E55599" w:rsidP="00E55599">
      <w:pPr>
        <w:spacing w:line="360" w:lineRule="auto"/>
        <w:jc w:val="both"/>
        <w:rPr>
          <w:rFonts w:ascii="Arial" w:hAnsi="Arial"/>
        </w:rPr>
      </w:pPr>
      <w:r w:rsidRPr="00E55599">
        <w:rPr>
          <w:rFonts w:ascii="Arial" w:hAnsi="Arial"/>
        </w:rPr>
        <w:t xml:space="preserve">Out of </w:t>
      </w:r>
      <w:r w:rsidR="00DA114F">
        <w:rPr>
          <w:rFonts w:ascii="Arial" w:hAnsi="Arial"/>
        </w:rPr>
        <w:t xml:space="preserve">the </w:t>
      </w:r>
      <w:r w:rsidRPr="00E55599">
        <w:rPr>
          <w:rFonts w:ascii="Arial" w:hAnsi="Arial"/>
        </w:rPr>
        <w:t xml:space="preserve">15 sampled gift funds, the limited </w:t>
      </w:r>
      <w:r w:rsidR="00FB2FD1">
        <w:rPr>
          <w:rFonts w:ascii="Arial" w:hAnsi="Arial"/>
        </w:rPr>
        <w:t xml:space="preserve">financial </w:t>
      </w:r>
      <w:r w:rsidRPr="00E55599">
        <w:rPr>
          <w:rFonts w:ascii="Arial" w:hAnsi="Arial"/>
        </w:rPr>
        <w:t>activity for these funds appeared reasonable. </w:t>
      </w:r>
      <w:r w:rsidR="009E5250">
        <w:rPr>
          <w:rFonts w:ascii="Arial" w:hAnsi="Arial"/>
        </w:rPr>
        <w:t xml:space="preserve"> However, for two sampled fund</w:t>
      </w:r>
      <w:r w:rsidR="006833B8">
        <w:rPr>
          <w:rFonts w:ascii="Arial" w:hAnsi="Arial"/>
        </w:rPr>
        <w:t>s</w:t>
      </w:r>
      <w:r w:rsidR="009E5250">
        <w:rPr>
          <w:rFonts w:ascii="Arial" w:hAnsi="Arial"/>
        </w:rPr>
        <w:t xml:space="preserve"> </w:t>
      </w:r>
      <w:r w:rsidRPr="00E55599">
        <w:rPr>
          <w:rFonts w:ascii="Arial" w:hAnsi="Arial"/>
        </w:rPr>
        <w:t>noted below that relate to the same organization, upon review of related documentation from UCLA External Affairs</w:t>
      </w:r>
      <w:r w:rsidR="00FB2FD1">
        <w:rPr>
          <w:rFonts w:ascii="Arial" w:hAnsi="Arial"/>
        </w:rPr>
        <w:t xml:space="preserve"> and the UCLA </w:t>
      </w:r>
      <w:r w:rsidRPr="00E55599">
        <w:rPr>
          <w:rFonts w:ascii="Arial" w:hAnsi="Arial"/>
        </w:rPr>
        <w:t xml:space="preserve">Foundation, it appears that the monies that came in should have been categorized as a grant, rather than as a gift.  </w:t>
      </w:r>
    </w:p>
    <w:p w:rsidR="00E55599" w:rsidRPr="00E55599" w:rsidRDefault="00E55599" w:rsidP="00E55599">
      <w:pPr>
        <w:spacing w:line="360" w:lineRule="auto"/>
        <w:jc w:val="both"/>
        <w:rPr>
          <w:rFonts w:ascii="Arial" w:hAnsi="Arial"/>
        </w:rPr>
      </w:pPr>
      <w:r w:rsidRPr="00E55599">
        <w:rPr>
          <w:rFonts w:ascii="Arial" w:hAnsi="Arial"/>
        </w:rPr>
        <w:t> </w:t>
      </w:r>
    </w:p>
    <w:p w:rsidR="006F6ADD" w:rsidRPr="006F6ADD" w:rsidRDefault="00E55599" w:rsidP="0037670C">
      <w:pPr>
        <w:pStyle w:val="ListParagraph"/>
        <w:numPr>
          <w:ilvl w:val="0"/>
          <w:numId w:val="6"/>
        </w:numPr>
        <w:spacing w:line="360" w:lineRule="auto"/>
        <w:ind w:left="540" w:hanging="540"/>
        <w:jc w:val="both"/>
        <w:rPr>
          <w:rFonts w:ascii="Arial" w:hAnsi="Arial"/>
        </w:rPr>
      </w:pPr>
      <w:r w:rsidRPr="006F6ADD">
        <w:rPr>
          <w:rFonts w:ascii="Arial" w:hAnsi="Arial"/>
        </w:rPr>
        <w:t>Fund 62689O -</w:t>
      </w:r>
      <w:r w:rsidR="0096327E" w:rsidRPr="006F6ADD">
        <w:rPr>
          <w:rFonts w:ascii="Arial" w:hAnsi="Arial"/>
        </w:rPr>
        <w:t> Sound</w:t>
      </w:r>
      <w:r w:rsidRPr="006F6ADD">
        <w:rPr>
          <w:rFonts w:ascii="Arial" w:hAnsi="Arial"/>
        </w:rPr>
        <w:t xml:space="preserve"> Body Sound Mind </w:t>
      </w:r>
      <w:r w:rsidR="00FB2FD1" w:rsidRPr="00E55599">
        <w:rPr>
          <w:rFonts w:ascii="Arial" w:hAnsi="Arial"/>
        </w:rPr>
        <w:t xml:space="preserve">Robert F. Kennedy </w:t>
      </w:r>
      <w:r w:rsidR="00FB2FD1">
        <w:rPr>
          <w:rFonts w:ascii="Arial" w:hAnsi="Arial"/>
        </w:rPr>
        <w:t>(</w:t>
      </w:r>
      <w:r w:rsidRPr="006F6ADD">
        <w:rPr>
          <w:rFonts w:ascii="Arial" w:hAnsi="Arial"/>
        </w:rPr>
        <w:t>RFK</w:t>
      </w:r>
      <w:r w:rsidR="00FB2FD1">
        <w:rPr>
          <w:rFonts w:ascii="Arial" w:hAnsi="Arial"/>
        </w:rPr>
        <w:t>)</w:t>
      </w:r>
      <w:r w:rsidRPr="006F6ADD">
        <w:rPr>
          <w:rFonts w:ascii="Arial" w:hAnsi="Arial"/>
        </w:rPr>
        <w:t xml:space="preserve"> Community </w:t>
      </w:r>
      <w:r w:rsidR="00494FCD">
        <w:rPr>
          <w:rFonts w:ascii="Arial" w:hAnsi="Arial"/>
        </w:rPr>
        <w:t>School</w:t>
      </w:r>
      <w:r w:rsidRPr="006F6ADD">
        <w:rPr>
          <w:rFonts w:ascii="Arial" w:hAnsi="Arial"/>
        </w:rPr>
        <w:t xml:space="preserve">s Project - Luskin, which was set up on </w:t>
      </w:r>
      <w:r w:rsidR="00DA114F">
        <w:rPr>
          <w:rFonts w:ascii="Arial" w:hAnsi="Arial"/>
        </w:rPr>
        <w:t>December 13, 201</w:t>
      </w:r>
      <w:r w:rsidR="00030656">
        <w:rPr>
          <w:rFonts w:ascii="Arial" w:hAnsi="Arial"/>
        </w:rPr>
        <w:t>2</w:t>
      </w:r>
      <w:r w:rsidR="00FB2FD1">
        <w:rPr>
          <w:rFonts w:ascii="Arial" w:hAnsi="Arial"/>
        </w:rPr>
        <w:t>,</w:t>
      </w:r>
      <w:r w:rsidRPr="006F6ADD">
        <w:rPr>
          <w:rFonts w:ascii="Arial" w:hAnsi="Arial"/>
        </w:rPr>
        <w:t xml:space="preserve"> in the amount of $28,755.  As of the audit review, $24,667.96 remained in this fund.</w:t>
      </w:r>
    </w:p>
    <w:p w:rsidR="006F6ADD" w:rsidRPr="00E55599" w:rsidRDefault="006F6ADD" w:rsidP="00E55599">
      <w:pPr>
        <w:spacing w:line="360" w:lineRule="auto"/>
        <w:jc w:val="both"/>
        <w:rPr>
          <w:rFonts w:ascii="Arial" w:hAnsi="Arial"/>
        </w:rPr>
      </w:pPr>
    </w:p>
    <w:p w:rsidR="00E55599" w:rsidRPr="006F6ADD" w:rsidRDefault="00E55599" w:rsidP="0037670C">
      <w:pPr>
        <w:pStyle w:val="ListParagraph"/>
        <w:numPr>
          <w:ilvl w:val="0"/>
          <w:numId w:val="6"/>
        </w:numPr>
        <w:spacing w:line="360" w:lineRule="auto"/>
        <w:ind w:left="540" w:hanging="540"/>
        <w:jc w:val="both"/>
        <w:rPr>
          <w:rFonts w:ascii="Arial" w:hAnsi="Arial"/>
        </w:rPr>
      </w:pPr>
      <w:r w:rsidRPr="006F6ADD">
        <w:rPr>
          <w:rFonts w:ascii="Arial" w:hAnsi="Arial"/>
        </w:rPr>
        <w:t xml:space="preserve">Fund 62676O - Sound Body Sound Mind RFK Community </w:t>
      </w:r>
      <w:r w:rsidR="00494FCD">
        <w:rPr>
          <w:rFonts w:ascii="Arial" w:hAnsi="Arial"/>
        </w:rPr>
        <w:t>School</w:t>
      </w:r>
      <w:r w:rsidRPr="006F6ADD">
        <w:rPr>
          <w:rFonts w:ascii="Arial" w:hAnsi="Arial"/>
        </w:rPr>
        <w:t xml:space="preserve">s Project - Dream, which was set up on </w:t>
      </w:r>
      <w:r w:rsidR="00030656">
        <w:rPr>
          <w:rFonts w:ascii="Arial" w:hAnsi="Arial"/>
        </w:rPr>
        <w:t>December 7, 2012</w:t>
      </w:r>
      <w:r w:rsidR="00FB2FD1">
        <w:rPr>
          <w:rFonts w:ascii="Arial" w:hAnsi="Arial"/>
        </w:rPr>
        <w:t>,</w:t>
      </w:r>
      <w:r w:rsidRPr="006F6ADD">
        <w:rPr>
          <w:rFonts w:ascii="Arial" w:hAnsi="Arial"/>
        </w:rPr>
        <w:t xml:space="preserve"> in the amount of $43,000.  As of the audit review, $40,432.50 remained in this fund.</w:t>
      </w:r>
    </w:p>
    <w:p w:rsidR="00AF2E43" w:rsidRDefault="00E55599" w:rsidP="00E55599">
      <w:pPr>
        <w:spacing w:line="360" w:lineRule="auto"/>
        <w:jc w:val="both"/>
        <w:rPr>
          <w:rFonts w:ascii="Arial" w:hAnsi="Arial"/>
        </w:rPr>
      </w:pPr>
      <w:r w:rsidRPr="00E55599">
        <w:rPr>
          <w:rFonts w:ascii="Arial" w:hAnsi="Arial"/>
        </w:rPr>
        <w:t> </w:t>
      </w:r>
    </w:p>
    <w:p w:rsidR="00E55599" w:rsidRPr="00E55599" w:rsidRDefault="00E55599" w:rsidP="00E55599">
      <w:pPr>
        <w:spacing w:line="360" w:lineRule="auto"/>
        <w:jc w:val="both"/>
        <w:rPr>
          <w:rFonts w:ascii="Arial" w:hAnsi="Arial"/>
        </w:rPr>
      </w:pPr>
      <w:r w:rsidRPr="00E55599">
        <w:rPr>
          <w:rFonts w:ascii="Arial" w:hAnsi="Arial"/>
        </w:rPr>
        <w:t>There appeared to be deliverables and a specific scope of work associated with these</w:t>
      </w:r>
      <w:r w:rsidR="000777E5">
        <w:rPr>
          <w:rFonts w:ascii="Arial" w:hAnsi="Arial"/>
        </w:rPr>
        <w:t xml:space="preserve"> two</w:t>
      </w:r>
      <w:r w:rsidRPr="00E55599">
        <w:rPr>
          <w:rFonts w:ascii="Arial" w:hAnsi="Arial"/>
        </w:rPr>
        <w:t xml:space="preserve"> funds.  The fund purpose</w:t>
      </w:r>
      <w:r w:rsidR="000777E5">
        <w:rPr>
          <w:rFonts w:ascii="Arial" w:hAnsi="Arial"/>
        </w:rPr>
        <w:t>s indicated</w:t>
      </w:r>
      <w:r w:rsidRPr="00E55599">
        <w:rPr>
          <w:rFonts w:ascii="Arial" w:hAnsi="Arial"/>
        </w:rPr>
        <w:t xml:space="preserve"> that the monies are "to support the evaluation of the Sound Body Sound Mind RFK Community </w:t>
      </w:r>
      <w:r w:rsidR="00494FCD">
        <w:rPr>
          <w:rFonts w:ascii="Arial" w:hAnsi="Arial"/>
        </w:rPr>
        <w:t>School</w:t>
      </w:r>
      <w:r w:rsidRPr="00E55599">
        <w:rPr>
          <w:rFonts w:ascii="Arial" w:hAnsi="Arial"/>
        </w:rPr>
        <w:t xml:space="preserve">s PE Curriculum."  Supporting documentation indicated that to evaluate the project (a program with a 10 month time line), the evaluation would survey 600 students, 600 parents, and the physical education teachers at the RFK </w:t>
      </w:r>
      <w:r w:rsidR="00494FCD">
        <w:rPr>
          <w:rFonts w:ascii="Arial" w:hAnsi="Arial"/>
        </w:rPr>
        <w:t>School</w:t>
      </w:r>
      <w:r w:rsidRPr="00E55599">
        <w:rPr>
          <w:rFonts w:ascii="Arial" w:hAnsi="Arial"/>
        </w:rPr>
        <w:t>s, and that the study would track specific information.  Also, the evaluation process would include meeting with students, parents, teachers, and administration, collection and analysis of all data, and the compilation of findings.</w:t>
      </w:r>
    </w:p>
    <w:p w:rsidR="00E55599" w:rsidRPr="00E55599" w:rsidRDefault="00E55599" w:rsidP="00E55599">
      <w:pPr>
        <w:spacing w:line="360" w:lineRule="auto"/>
        <w:jc w:val="both"/>
        <w:rPr>
          <w:rFonts w:ascii="Arial" w:hAnsi="Arial"/>
        </w:rPr>
      </w:pPr>
      <w:r w:rsidRPr="00E55599">
        <w:rPr>
          <w:rFonts w:ascii="Arial" w:hAnsi="Arial"/>
        </w:rPr>
        <w:t> </w:t>
      </w:r>
    </w:p>
    <w:p w:rsidR="00E55599" w:rsidRPr="00AF2E43" w:rsidRDefault="00E55599" w:rsidP="00E55599">
      <w:pPr>
        <w:spacing w:line="360" w:lineRule="auto"/>
        <w:jc w:val="both"/>
        <w:rPr>
          <w:rFonts w:ascii="Arial" w:hAnsi="Arial"/>
        </w:rPr>
      </w:pPr>
      <w:r w:rsidRPr="00AF2E43">
        <w:rPr>
          <w:rFonts w:ascii="Arial" w:hAnsi="Arial"/>
        </w:rPr>
        <w:t xml:space="preserve">In general, awards to support specific research studies should be accepted as grants with appropriate overhead.  Based on the </w:t>
      </w:r>
      <w:r w:rsidR="001A3AF8" w:rsidRPr="00AF2E43">
        <w:rPr>
          <w:rFonts w:ascii="Arial" w:hAnsi="Arial"/>
        </w:rPr>
        <w:t xml:space="preserve">University’s </w:t>
      </w:r>
      <w:r w:rsidRPr="00AF2E43">
        <w:rPr>
          <w:rFonts w:ascii="Arial" w:hAnsi="Arial"/>
        </w:rPr>
        <w:t xml:space="preserve">Contracts and Grants Manual, Chapter 9: Gifts and Endowments, 9-500: Distinguishing Between Private Gifts and Grants for Research,  </w:t>
      </w:r>
    </w:p>
    <w:p w:rsidR="006F6ADD" w:rsidRPr="00AF2E43" w:rsidRDefault="006F6ADD" w:rsidP="00E55599">
      <w:pPr>
        <w:spacing w:line="360" w:lineRule="auto"/>
        <w:jc w:val="both"/>
        <w:rPr>
          <w:rFonts w:ascii="Arial" w:hAnsi="Arial"/>
        </w:rPr>
      </w:pPr>
    </w:p>
    <w:p w:rsidR="00E55599" w:rsidRDefault="00E55599" w:rsidP="00D241E3">
      <w:pPr>
        <w:spacing w:line="360" w:lineRule="auto"/>
        <w:ind w:left="720" w:right="720"/>
        <w:jc w:val="both"/>
        <w:rPr>
          <w:rFonts w:ascii="Arial" w:hAnsi="Arial"/>
        </w:rPr>
      </w:pPr>
      <w:r w:rsidRPr="00AF2E43">
        <w:rPr>
          <w:rFonts w:ascii="Arial" w:hAnsi="Arial"/>
        </w:rPr>
        <w:t>"In general,</w:t>
      </w:r>
      <w:r w:rsidRPr="00E55599">
        <w:rPr>
          <w:rFonts w:ascii="Arial" w:hAnsi="Arial"/>
        </w:rPr>
        <w:t xml:space="preserve"> classify funds as grants when the following characteristics exist:</w:t>
      </w:r>
    </w:p>
    <w:p w:rsidR="00B84B81" w:rsidRPr="00E55599" w:rsidRDefault="00B84B81" w:rsidP="00D241E3">
      <w:pPr>
        <w:spacing w:line="360" w:lineRule="auto"/>
        <w:ind w:left="1260" w:right="720" w:hanging="540"/>
        <w:jc w:val="both"/>
        <w:rPr>
          <w:rFonts w:ascii="Arial" w:hAnsi="Arial"/>
        </w:rPr>
      </w:pPr>
    </w:p>
    <w:p w:rsidR="006F6ADD" w:rsidRDefault="00E55599" w:rsidP="00D241E3">
      <w:pPr>
        <w:pStyle w:val="ListParagraph"/>
        <w:numPr>
          <w:ilvl w:val="0"/>
          <w:numId w:val="9"/>
        </w:numPr>
        <w:spacing w:line="360" w:lineRule="auto"/>
        <w:ind w:left="1260" w:right="720" w:hanging="540"/>
        <w:jc w:val="both"/>
        <w:rPr>
          <w:rFonts w:ascii="Arial" w:hAnsi="Arial"/>
        </w:rPr>
      </w:pPr>
      <w:r w:rsidRPr="006F6ADD">
        <w:rPr>
          <w:rFonts w:ascii="Arial" w:hAnsi="Arial"/>
        </w:rPr>
        <w:t>provision for audits by or on behalf of the grantor;</w:t>
      </w:r>
    </w:p>
    <w:p w:rsidR="006F6ADD" w:rsidRDefault="00E55599" w:rsidP="00D241E3">
      <w:pPr>
        <w:pStyle w:val="ListParagraph"/>
        <w:numPr>
          <w:ilvl w:val="0"/>
          <w:numId w:val="9"/>
        </w:numPr>
        <w:spacing w:line="360" w:lineRule="auto"/>
        <w:ind w:left="1260" w:right="720" w:hanging="540"/>
        <w:jc w:val="both"/>
        <w:rPr>
          <w:rFonts w:ascii="Arial" w:hAnsi="Arial"/>
        </w:rPr>
      </w:pPr>
      <w:r w:rsidRPr="006F6ADD">
        <w:rPr>
          <w:rFonts w:ascii="Arial" w:hAnsi="Arial"/>
        </w:rPr>
        <w:t>the grantor is entitled to receive some consideration such as a detailed technical report of research results or a report of expenditures;</w:t>
      </w:r>
    </w:p>
    <w:p w:rsidR="006F6ADD" w:rsidRDefault="00E55599" w:rsidP="00D241E3">
      <w:pPr>
        <w:pStyle w:val="ListParagraph"/>
        <w:numPr>
          <w:ilvl w:val="0"/>
          <w:numId w:val="9"/>
        </w:numPr>
        <w:spacing w:line="360" w:lineRule="auto"/>
        <w:ind w:left="1260" w:right="720" w:hanging="540"/>
        <w:jc w:val="both"/>
        <w:rPr>
          <w:rFonts w:ascii="Arial" w:hAnsi="Arial"/>
        </w:rPr>
      </w:pPr>
      <w:r w:rsidRPr="006F6ADD">
        <w:rPr>
          <w:rFonts w:ascii="Arial" w:hAnsi="Arial"/>
        </w:rPr>
        <w:t>testing or evaluating of pro</w:t>
      </w:r>
      <w:r w:rsidR="006F6ADD">
        <w:rPr>
          <w:rFonts w:ascii="Arial" w:hAnsi="Arial"/>
        </w:rPr>
        <w:t>prietary products is involved</w:t>
      </w:r>
      <w:r w:rsidR="00ED2EC4">
        <w:rPr>
          <w:rFonts w:ascii="Arial" w:hAnsi="Arial"/>
        </w:rPr>
        <w:t>;</w:t>
      </w:r>
    </w:p>
    <w:p w:rsidR="006F6ADD" w:rsidRDefault="00E55599" w:rsidP="00D241E3">
      <w:pPr>
        <w:pStyle w:val="ListParagraph"/>
        <w:numPr>
          <w:ilvl w:val="0"/>
          <w:numId w:val="9"/>
        </w:numPr>
        <w:spacing w:line="360" w:lineRule="auto"/>
        <w:ind w:left="1260" w:right="720" w:hanging="540"/>
        <w:jc w:val="both"/>
        <w:rPr>
          <w:rFonts w:ascii="Arial" w:hAnsi="Arial"/>
        </w:rPr>
      </w:pPr>
      <w:r w:rsidRPr="006F6ADD">
        <w:rPr>
          <w:rFonts w:ascii="Arial" w:hAnsi="Arial"/>
        </w:rPr>
        <w:t>the research is directed to satisfying specific grantor requirements (e.g., terms and conditions stating a precise scope of work to be done rather than a general area of research);</w:t>
      </w:r>
    </w:p>
    <w:p w:rsidR="006F6ADD" w:rsidRDefault="00E55599" w:rsidP="00D241E3">
      <w:pPr>
        <w:pStyle w:val="ListParagraph"/>
        <w:numPr>
          <w:ilvl w:val="0"/>
          <w:numId w:val="9"/>
        </w:numPr>
        <w:spacing w:line="360" w:lineRule="auto"/>
        <w:ind w:left="1260" w:right="720" w:hanging="540"/>
        <w:jc w:val="both"/>
        <w:rPr>
          <w:rFonts w:ascii="Arial" w:hAnsi="Arial"/>
        </w:rPr>
      </w:pPr>
      <w:r w:rsidRPr="006F6ADD">
        <w:rPr>
          <w:rFonts w:ascii="Arial" w:hAnsi="Arial"/>
        </w:rPr>
        <w:t>a specified period of performance is prescribed or termination is at the discretion of the grantor;</w:t>
      </w:r>
    </w:p>
    <w:p w:rsidR="006F6ADD" w:rsidRDefault="00E55599" w:rsidP="00D241E3">
      <w:pPr>
        <w:pStyle w:val="ListParagraph"/>
        <w:numPr>
          <w:ilvl w:val="0"/>
          <w:numId w:val="9"/>
        </w:numPr>
        <w:spacing w:line="360" w:lineRule="auto"/>
        <w:ind w:left="1260" w:right="720" w:hanging="540"/>
        <w:jc w:val="both"/>
        <w:rPr>
          <w:rFonts w:ascii="Arial" w:hAnsi="Arial"/>
        </w:rPr>
      </w:pPr>
      <w:r w:rsidRPr="006F6ADD">
        <w:rPr>
          <w:rFonts w:ascii="Arial" w:hAnsi="Arial"/>
        </w:rPr>
        <w:t>funds unexpended at end of period shall be returned to the grantor;</w:t>
      </w:r>
    </w:p>
    <w:p w:rsidR="00E55599" w:rsidRPr="006F6ADD" w:rsidRDefault="00E55599" w:rsidP="00D241E3">
      <w:pPr>
        <w:pStyle w:val="ListParagraph"/>
        <w:numPr>
          <w:ilvl w:val="0"/>
          <w:numId w:val="9"/>
        </w:numPr>
        <w:spacing w:line="360" w:lineRule="auto"/>
        <w:ind w:left="1260" w:right="720" w:hanging="540"/>
        <w:jc w:val="both"/>
        <w:rPr>
          <w:rFonts w:ascii="Arial" w:hAnsi="Arial"/>
        </w:rPr>
      </w:pPr>
      <w:r w:rsidRPr="006F6ADD">
        <w:rPr>
          <w:rFonts w:ascii="Arial" w:hAnsi="Arial"/>
        </w:rPr>
        <w:t>patent rights requested by grantor.</w:t>
      </w:r>
    </w:p>
    <w:p w:rsidR="00E55599" w:rsidRPr="00E55599" w:rsidRDefault="00E55599" w:rsidP="00D241E3">
      <w:pPr>
        <w:spacing w:line="360" w:lineRule="auto"/>
        <w:ind w:left="1260" w:right="720" w:hanging="540"/>
        <w:jc w:val="both"/>
        <w:rPr>
          <w:rFonts w:ascii="Arial" w:hAnsi="Arial"/>
        </w:rPr>
      </w:pPr>
      <w:r w:rsidRPr="00E55599">
        <w:rPr>
          <w:rFonts w:ascii="Arial" w:hAnsi="Arial"/>
        </w:rPr>
        <w:t> </w:t>
      </w:r>
    </w:p>
    <w:p w:rsidR="00E55599" w:rsidRPr="00E55599" w:rsidRDefault="00E55599" w:rsidP="00D241E3">
      <w:pPr>
        <w:spacing w:line="360" w:lineRule="auto"/>
        <w:ind w:left="720" w:right="720"/>
        <w:jc w:val="both"/>
        <w:rPr>
          <w:rFonts w:ascii="Arial" w:hAnsi="Arial"/>
        </w:rPr>
      </w:pPr>
      <w:r w:rsidRPr="00E55599">
        <w:rPr>
          <w:rFonts w:ascii="Arial" w:hAnsi="Arial"/>
        </w:rPr>
        <w:t xml:space="preserve">Since, in many situations not all of the above characteristics will be present, campuses must exercise judgment in order to classify the gift/grant in accordance with the intent of this Policy. </w:t>
      </w:r>
      <w:r w:rsidR="00FB2FD1">
        <w:rPr>
          <w:rFonts w:ascii="Arial" w:hAnsi="Arial"/>
        </w:rPr>
        <w:t xml:space="preserve"> </w:t>
      </w:r>
      <w:r w:rsidRPr="00E55599">
        <w:rPr>
          <w:rFonts w:ascii="Arial" w:hAnsi="Arial"/>
        </w:rPr>
        <w:t xml:space="preserve">The decision as to whether a particular award should be considered a gift cannot be made based upon the presence or absence of a single characteristic or criterion. </w:t>
      </w:r>
      <w:r w:rsidR="00FB2FD1">
        <w:rPr>
          <w:rFonts w:ascii="Arial" w:hAnsi="Arial"/>
        </w:rPr>
        <w:t xml:space="preserve"> </w:t>
      </w:r>
      <w:r w:rsidRPr="00E55599">
        <w:rPr>
          <w:rFonts w:ascii="Arial" w:hAnsi="Arial"/>
        </w:rPr>
        <w:t>Rather, one must look at the award as a whole in order to make a judgment as to its proper classification."</w:t>
      </w:r>
    </w:p>
    <w:p w:rsidR="00E55599" w:rsidRPr="00E55599" w:rsidRDefault="00E55599" w:rsidP="00E55599">
      <w:pPr>
        <w:spacing w:line="360" w:lineRule="auto"/>
        <w:jc w:val="both"/>
        <w:rPr>
          <w:rFonts w:ascii="Arial" w:hAnsi="Arial"/>
        </w:rPr>
      </w:pPr>
      <w:r w:rsidRPr="00E55599">
        <w:rPr>
          <w:rFonts w:ascii="Arial" w:hAnsi="Arial"/>
        </w:rPr>
        <w:t> </w:t>
      </w:r>
    </w:p>
    <w:p w:rsidR="00E55599" w:rsidRDefault="00E55599" w:rsidP="00FA78B3">
      <w:pPr>
        <w:spacing w:line="360" w:lineRule="auto"/>
        <w:jc w:val="both"/>
        <w:rPr>
          <w:rFonts w:ascii="Arial" w:hAnsi="Arial"/>
        </w:rPr>
      </w:pPr>
      <w:r w:rsidRPr="00E55599">
        <w:rPr>
          <w:rFonts w:ascii="Arial" w:hAnsi="Arial"/>
        </w:rPr>
        <w:t>Luskin management indicated that they have discussed th</w:t>
      </w:r>
      <w:r w:rsidR="001A3AF8">
        <w:rPr>
          <w:rFonts w:ascii="Arial" w:hAnsi="Arial"/>
        </w:rPr>
        <w:t>e</w:t>
      </w:r>
      <w:r w:rsidRPr="00E55599">
        <w:rPr>
          <w:rFonts w:ascii="Arial" w:hAnsi="Arial"/>
        </w:rPr>
        <w:t xml:space="preserve"> topic</w:t>
      </w:r>
      <w:r w:rsidR="000777E5">
        <w:rPr>
          <w:rFonts w:ascii="Arial" w:hAnsi="Arial"/>
        </w:rPr>
        <w:t xml:space="preserve"> of recognizing monies as gifts versus grants</w:t>
      </w:r>
      <w:r w:rsidRPr="00E55599">
        <w:rPr>
          <w:rFonts w:ascii="Arial" w:hAnsi="Arial"/>
        </w:rPr>
        <w:t xml:space="preserve"> with PIs and development officers. </w:t>
      </w:r>
    </w:p>
    <w:p w:rsidR="00593B4F" w:rsidRDefault="00593B4F" w:rsidP="00FA78B3">
      <w:pPr>
        <w:spacing w:line="360" w:lineRule="auto"/>
        <w:jc w:val="both"/>
        <w:rPr>
          <w:rFonts w:ascii="Arial" w:hAnsi="Arial"/>
        </w:rPr>
      </w:pPr>
    </w:p>
    <w:p w:rsidR="00891E24" w:rsidRDefault="00A5489F" w:rsidP="00FA78B3">
      <w:pPr>
        <w:spacing w:line="360" w:lineRule="auto"/>
        <w:jc w:val="both"/>
        <w:rPr>
          <w:rFonts w:ascii="Arial" w:hAnsi="Arial"/>
        </w:rPr>
      </w:pPr>
      <w:r w:rsidRPr="00CC0C65">
        <w:rPr>
          <w:rFonts w:ascii="Arial" w:hAnsi="Arial"/>
          <w:u w:val="single"/>
        </w:rPr>
        <w:t>Recommendation</w:t>
      </w:r>
      <w:r w:rsidR="00CC0C65">
        <w:rPr>
          <w:rFonts w:ascii="Arial" w:hAnsi="Arial"/>
        </w:rPr>
        <w:t>:</w:t>
      </w:r>
      <w:r w:rsidR="002276CA">
        <w:rPr>
          <w:rFonts w:ascii="Arial" w:hAnsi="Arial"/>
        </w:rPr>
        <w:t xml:space="preserve">  </w:t>
      </w:r>
      <w:r w:rsidR="002276CA" w:rsidRPr="002276CA">
        <w:rPr>
          <w:rFonts w:ascii="Arial" w:hAnsi="Arial"/>
        </w:rPr>
        <w:t>The Dean should disseminate reminder policies and information regarding categorizing m</w:t>
      </w:r>
      <w:r w:rsidR="00CE2C8F">
        <w:rPr>
          <w:rFonts w:ascii="Arial" w:hAnsi="Arial"/>
        </w:rPr>
        <w:t xml:space="preserve">onies as gifts or grants to </w:t>
      </w:r>
      <w:r w:rsidR="002276CA" w:rsidRPr="002276CA">
        <w:rPr>
          <w:rFonts w:ascii="Arial" w:hAnsi="Arial"/>
        </w:rPr>
        <w:t xml:space="preserve">faculty and staff within the </w:t>
      </w:r>
      <w:r w:rsidR="00494FCD">
        <w:rPr>
          <w:rFonts w:ascii="Arial" w:hAnsi="Arial"/>
        </w:rPr>
        <w:t>School</w:t>
      </w:r>
      <w:r w:rsidR="002276CA" w:rsidRPr="002276CA">
        <w:rPr>
          <w:rFonts w:ascii="Arial" w:hAnsi="Arial"/>
        </w:rPr>
        <w:t xml:space="preserve"> on a regular basis.  </w:t>
      </w:r>
      <w:r w:rsidR="00CC0C65" w:rsidRPr="00CC0C65">
        <w:rPr>
          <w:rFonts w:ascii="Arial" w:hAnsi="Arial"/>
        </w:rPr>
        <w:t xml:space="preserve">Additional training should be provided to areas as needed.  </w:t>
      </w:r>
    </w:p>
    <w:p w:rsidR="00891E24" w:rsidRDefault="00891E24" w:rsidP="00FA78B3">
      <w:pPr>
        <w:spacing w:line="360" w:lineRule="auto"/>
        <w:jc w:val="both"/>
        <w:rPr>
          <w:rFonts w:ascii="Arial" w:hAnsi="Arial"/>
        </w:rPr>
      </w:pPr>
    </w:p>
    <w:p w:rsidR="0037670C" w:rsidRDefault="00CC0C65" w:rsidP="0037670C">
      <w:pPr>
        <w:spacing w:line="360" w:lineRule="auto"/>
        <w:jc w:val="both"/>
        <w:rPr>
          <w:rFonts w:ascii="Arial" w:hAnsi="Arial"/>
        </w:rPr>
      </w:pPr>
      <w:r w:rsidRPr="00CC0C65">
        <w:rPr>
          <w:rFonts w:ascii="Arial" w:hAnsi="Arial"/>
        </w:rPr>
        <w:t xml:space="preserve">Also, when applicable, management should advise areas to confer with the appropriate Campus units for guidance in determining how monies should be recognized (including </w:t>
      </w:r>
      <w:r w:rsidR="001A3AF8">
        <w:rPr>
          <w:rFonts w:ascii="Arial" w:hAnsi="Arial"/>
        </w:rPr>
        <w:t xml:space="preserve">the </w:t>
      </w:r>
      <w:r w:rsidRPr="00CC0C65">
        <w:rPr>
          <w:rFonts w:ascii="Arial" w:hAnsi="Arial"/>
        </w:rPr>
        <w:t>Office of Research Administration, O</w:t>
      </w:r>
      <w:r w:rsidR="001A3AF8">
        <w:rPr>
          <w:rFonts w:ascii="Arial" w:hAnsi="Arial"/>
        </w:rPr>
        <w:t>CGA</w:t>
      </w:r>
      <w:r w:rsidRPr="00CC0C65">
        <w:rPr>
          <w:rFonts w:ascii="Arial" w:hAnsi="Arial"/>
        </w:rPr>
        <w:t>, Office of Intellectual Property &amp; Industry Sponsored Research, Institutional Review Boards, etc.).</w:t>
      </w:r>
    </w:p>
    <w:p w:rsidR="0077742F" w:rsidRDefault="0077742F" w:rsidP="0037670C">
      <w:pPr>
        <w:spacing w:line="360" w:lineRule="auto"/>
        <w:jc w:val="both"/>
        <w:rPr>
          <w:rFonts w:ascii="Arial" w:hAnsi="Arial"/>
        </w:rPr>
      </w:pPr>
    </w:p>
    <w:p w:rsidR="0077742F" w:rsidRDefault="0077742F" w:rsidP="0037670C">
      <w:pPr>
        <w:spacing w:line="360" w:lineRule="auto"/>
        <w:jc w:val="both"/>
        <w:rPr>
          <w:rFonts w:ascii="Arial" w:hAnsi="Arial"/>
        </w:rPr>
      </w:pPr>
      <w:r w:rsidRPr="0077742F">
        <w:rPr>
          <w:rFonts w:ascii="Arial" w:hAnsi="Arial"/>
          <w:u w:val="single"/>
        </w:rPr>
        <w:t>Response</w:t>
      </w:r>
      <w:r>
        <w:rPr>
          <w:rFonts w:ascii="Arial" w:hAnsi="Arial"/>
        </w:rPr>
        <w:t>:</w:t>
      </w:r>
      <w:r w:rsidR="004F1385">
        <w:rPr>
          <w:rFonts w:ascii="Arial" w:hAnsi="Arial"/>
        </w:rPr>
        <w:t xml:space="preserve">  The Dean will communicate policies and information regarding categorizing monies as gifts or grants to all faculty and staff at the beginning of the Fall Quarter.  Training will be made available, if needed.</w:t>
      </w:r>
      <w:r>
        <w:rPr>
          <w:rFonts w:ascii="Arial" w:hAnsi="Arial"/>
        </w:rPr>
        <w:t xml:space="preserve">  </w:t>
      </w:r>
    </w:p>
    <w:p w:rsidR="004D1F04" w:rsidRDefault="004D1F04" w:rsidP="0037670C">
      <w:pPr>
        <w:spacing w:line="360" w:lineRule="auto"/>
        <w:jc w:val="both"/>
        <w:rPr>
          <w:rFonts w:ascii="Arial" w:hAnsi="Arial"/>
        </w:rPr>
      </w:pPr>
    </w:p>
    <w:p w:rsidR="00EA4AD4" w:rsidRPr="0015166D" w:rsidRDefault="00EA4AD4" w:rsidP="0037670C">
      <w:pPr>
        <w:pStyle w:val="Heading2"/>
        <w:spacing w:before="0" w:line="360" w:lineRule="auto"/>
        <w:jc w:val="center"/>
        <w:rPr>
          <w:rFonts w:ascii="Arial" w:hAnsi="Arial"/>
          <w:b w:val="0"/>
          <w:color w:val="auto"/>
          <w:sz w:val="24"/>
          <w:szCs w:val="24"/>
          <w:u w:val="single"/>
        </w:rPr>
      </w:pPr>
      <w:bookmarkStart w:id="12" w:name="_Toc453765954"/>
      <w:r w:rsidRPr="0015166D">
        <w:rPr>
          <w:rFonts w:ascii="Arial" w:hAnsi="Arial"/>
          <w:b w:val="0"/>
          <w:color w:val="auto"/>
          <w:sz w:val="24"/>
          <w:szCs w:val="24"/>
          <w:u w:val="single"/>
        </w:rPr>
        <w:t>Faculty Hiring and Diversity</w:t>
      </w:r>
      <w:bookmarkEnd w:id="12"/>
    </w:p>
    <w:p w:rsidR="006A0DA5" w:rsidRDefault="006A0DA5" w:rsidP="0037670C">
      <w:pPr>
        <w:spacing w:line="360" w:lineRule="auto"/>
        <w:jc w:val="both"/>
        <w:rPr>
          <w:rFonts w:ascii="Arial" w:hAnsi="Arial"/>
        </w:rPr>
      </w:pPr>
    </w:p>
    <w:p w:rsidR="006A0DA5" w:rsidRPr="006A0DA5" w:rsidRDefault="006A0DA5" w:rsidP="0037670C">
      <w:pPr>
        <w:spacing w:line="360" w:lineRule="auto"/>
        <w:jc w:val="both"/>
        <w:rPr>
          <w:rFonts w:ascii="Arial" w:hAnsi="Arial"/>
        </w:rPr>
      </w:pPr>
      <w:r w:rsidRPr="006A0DA5">
        <w:rPr>
          <w:rFonts w:ascii="Arial" w:hAnsi="Arial"/>
        </w:rPr>
        <w:t xml:space="preserve">Based on audit review, it appears that adequate steps are taken surrounding recruitment, hiring, retention, and separation to establish and maintain a diverse staff and faculty population in </w:t>
      </w:r>
      <w:r w:rsidR="009A7D3B">
        <w:rPr>
          <w:rFonts w:ascii="Arial" w:hAnsi="Arial"/>
        </w:rPr>
        <w:t xml:space="preserve">the </w:t>
      </w:r>
      <w:r w:rsidR="00494FCD">
        <w:rPr>
          <w:rFonts w:ascii="Arial" w:hAnsi="Arial"/>
        </w:rPr>
        <w:t>School</w:t>
      </w:r>
      <w:r w:rsidR="009A7D3B">
        <w:rPr>
          <w:rFonts w:ascii="Arial" w:hAnsi="Arial"/>
        </w:rPr>
        <w:t>.</w:t>
      </w:r>
      <w:r w:rsidR="0037670C">
        <w:rPr>
          <w:rFonts w:ascii="Arial" w:hAnsi="Arial"/>
        </w:rPr>
        <w:t xml:space="preserve">  The following were noted:</w:t>
      </w:r>
    </w:p>
    <w:p w:rsidR="006A0DA5" w:rsidRPr="006A0DA5" w:rsidRDefault="006A0DA5" w:rsidP="0011735D">
      <w:pPr>
        <w:spacing w:line="360" w:lineRule="auto"/>
        <w:jc w:val="both"/>
        <w:rPr>
          <w:rFonts w:ascii="Arial" w:hAnsi="Arial"/>
        </w:rPr>
      </w:pPr>
      <w:r w:rsidRPr="006A0DA5">
        <w:rPr>
          <w:rFonts w:ascii="Arial" w:hAnsi="Arial"/>
        </w:rPr>
        <w:t> </w:t>
      </w:r>
    </w:p>
    <w:p w:rsidR="006A0DA5" w:rsidRPr="0037670C" w:rsidRDefault="006A0DA5" w:rsidP="0037670C">
      <w:pPr>
        <w:spacing w:line="360" w:lineRule="auto"/>
        <w:jc w:val="both"/>
        <w:rPr>
          <w:rFonts w:ascii="Arial" w:hAnsi="Arial"/>
          <w:i/>
          <w:u w:val="single"/>
        </w:rPr>
      </w:pPr>
      <w:r w:rsidRPr="0037670C">
        <w:rPr>
          <w:rFonts w:ascii="Arial" w:hAnsi="Arial"/>
          <w:i/>
          <w:u w:val="single"/>
        </w:rPr>
        <w:t>Hiring</w:t>
      </w:r>
    </w:p>
    <w:p w:rsidR="0037670C" w:rsidRDefault="0037670C" w:rsidP="0037670C">
      <w:pPr>
        <w:spacing w:line="360" w:lineRule="auto"/>
        <w:jc w:val="both"/>
        <w:rPr>
          <w:rFonts w:ascii="Arial" w:hAnsi="Arial"/>
        </w:rPr>
      </w:pPr>
    </w:p>
    <w:p w:rsidR="006A0DA5" w:rsidRPr="006A0DA5" w:rsidRDefault="007A347B" w:rsidP="0037670C">
      <w:pPr>
        <w:spacing w:line="360" w:lineRule="auto"/>
        <w:jc w:val="both"/>
        <w:rPr>
          <w:rFonts w:ascii="Arial" w:hAnsi="Arial"/>
        </w:rPr>
      </w:pPr>
      <w:r>
        <w:rPr>
          <w:rFonts w:ascii="Arial" w:hAnsi="Arial"/>
        </w:rPr>
        <w:t>Department</w:t>
      </w:r>
      <w:r w:rsidR="006A0DA5" w:rsidRPr="006A0DA5">
        <w:rPr>
          <w:rFonts w:ascii="Arial" w:hAnsi="Arial"/>
        </w:rPr>
        <w:t xml:space="preserve"> chairs ensure there is a diverse pool</w:t>
      </w:r>
      <w:r>
        <w:rPr>
          <w:rFonts w:ascii="Arial" w:hAnsi="Arial"/>
        </w:rPr>
        <w:t xml:space="preserve"> when hiring</w:t>
      </w:r>
      <w:r w:rsidR="006A0DA5" w:rsidRPr="006A0DA5">
        <w:rPr>
          <w:rFonts w:ascii="Arial" w:hAnsi="Arial"/>
        </w:rPr>
        <w:t xml:space="preserve">.  Committee creations are chaired by </w:t>
      </w:r>
      <w:r>
        <w:rPr>
          <w:rFonts w:ascii="Arial" w:hAnsi="Arial"/>
        </w:rPr>
        <w:t>Luskin’s</w:t>
      </w:r>
      <w:r w:rsidR="006A0DA5" w:rsidRPr="006A0DA5">
        <w:rPr>
          <w:rFonts w:ascii="Arial" w:hAnsi="Arial"/>
        </w:rPr>
        <w:t xml:space="preserve"> Diversity Liaison.  </w:t>
      </w:r>
      <w:r>
        <w:rPr>
          <w:rFonts w:ascii="Arial" w:hAnsi="Arial"/>
        </w:rPr>
        <w:t xml:space="preserve">The Diversity Liaison works in conjunction with the </w:t>
      </w:r>
      <w:r w:rsidR="00494FCD">
        <w:rPr>
          <w:rFonts w:ascii="Arial" w:hAnsi="Arial"/>
        </w:rPr>
        <w:t>School</w:t>
      </w:r>
      <w:r>
        <w:rPr>
          <w:rFonts w:ascii="Arial" w:hAnsi="Arial"/>
        </w:rPr>
        <w:t xml:space="preserve">’s </w:t>
      </w:r>
      <w:r w:rsidR="006A0DA5" w:rsidRPr="006A0DA5">
        <w:rPr>
          <w:rFonts w:ascii="Arial" w:hAnsi="Arial"/>
        </w:rPr>
        <w:t>Assoc</w:t>
      </w:r>
      <w:r>
        <w:rPr>
          <w:rFonts w:ascii="Arial" w:hAnsi="Arial"/>
        </w:rPr>
        <w:t xml:space="preserve">iate Dean of Academic Personnel.  </w:t>
      </w:r>
      <w:r w:rsidR="006A0DA5" w:rsidRPr="006A0DA5">
        <w:rPr>
          <w:rFonts w:ascii="Arial" w:hAnsi="Arial"/>
        </w:rPr>
        <w:t xml:space="preserve">Final searches for faculty are vetted through these two </w:t>
      </w:r>
      <w:r>
        <w:rPr>
          <w:rFonts w:ascii="Arial" w:hAnsi="Arial"/>
        </w:rPr>
        <w:t>individuals</w:t>
      </w:r>
      <w:r w:rsidR="006A0DA5" w:rsidRPr="006A0DA5">
        <w:rPr>
          <w:rFonts w:ascii="Arial" w:hAnsi="Arial"/>
        </w:rPr>
        <w:t xml:space="preserve">.  </w:t>
      </w:r>
      <w:r>
        <w:rPr>
          <w:rFonts w:ascii="Arial" w:hAnsi="Arial"/>
        </w:rPr>
        <w:t>Also, f</w:t>
      </w:r>
      <w:r w:rsidR="006A0DA5" w:rsidRPr="006A0DA5">
        <w:rPr>
          <w:rFonts w:ascii="Arial" w:hAnsi="Arial"/>
        </w:rPr>
        <w:t xml:space="preserve">aculty candidates meet with staff, faculty, and students, who also have input during the interview process.  </w:t>
      </w:r>
    </w:p>
    <w:p w:rsidR="006A0DA5" w:rsidRPr="006A0DA5" w:rsidRDefault="006A0DA5" w:rsidP="0011735D">
      <w:pPr>
        <w:spacing w:line="360" w:lineRule="auto"/>
        <w:jc w:val="both"/>
        <w:rPr>
          <w:rFonts w:ascii="Arial" w:hAnsi="Arial"/>
        </w:rPr>
      </w:pPr>
      <w:r w:rsidRPr="006A0DA5">
        <w:rPr>
          <w:rFonts w:ascii="Arial" w:hAnsi="Arial"/>
        </w:rPr>
        <w:t> </w:t>
      </w:r>
    </w:p>
    <w:p w:rsidR="007A347B" w:rsidRDefault="006A0DA5" w:rsidP="00261D90">
      <w:pPr>
        <w:spacing w:line="360" w:lineRule="auto"/>
        <w:rPr>
          <w:rFonts w:ascii="Arial" w:hAnsi="Arial"/>
        </w:rPr>
      </w:pPr>
      <w:r w:rsidRPr="006A0DA5">
        <w:rPr>
          <w:rFonts w:ascii="Arial" w:hAnsi="Arial"/>
        </w:rPr>
        <w:t>Ev</w:t>
      </w:r>
      <w:r w:rsidR="007A347B">
        <w:rPr>
          <w:rFonts w:ascii="Arial" w:hAnsi="Arial"/>
        </w:rPr>
        <w:t>ery department has to forward their</w:t>
      </w:r>
      <w:r w:rsidR="00261D90">
        <w:rPr>
          <w:rFonts w:ascii="Arial" w:hAnsi="Arial"/>
        </w:rPr>
        <w:t xml:space="preserve"> final</w:t>
      </w:r>
      <w:r w:rsidRPr="006A0DA5">
        <w:rPr>
          <w:rFonts w:ascii="Arial" w:hAnsi="Arial"/>
        </w:rPr>
        <w:t xml:space="preserve"> list of candidates to </w:t>
      </w:r>
      <w:r w:rsidR="007A347B">
        <w:rPr>
          <w:rFonts w:ascii="Arial" w:hAnsi="Arial"/>
        </w:rPr>
        <w:t xml:space="preserve">the </w:t>
      </w:r>
      <w:r w:rsidR="00455106">
        <w:rPr>
          <w:rFonts w:ascii="Arial" w:hAnsi="Arial"/>
        </w:rPr>
        <w:t>Diversity Liaison</w:t>
      </w:r>
      <w:r w:rsidR="007A347B">
        <w:rPr>
          <w:rFonts w:ascii="Arial" w:hAnsi="Arial"/>
        </w:rPr>
        <w:t xml:space="preserve"> </w:t>
      </w:r>
      <w:r w:rsidR="00F2019B">
        <w:rPr>
          <w:rFonts w:ascii="Arial" w:hAnsi="Arial"/>
        </w:rPr>
        <w:t xml:space="preserve">and </w:t>
      </w:r>
      <w:r w:rsidR="00F2019B" w:rsidRPr="006A0DA5">
        <w:rPr>
          <w:rFonts w:ascii="Arial" w:hAnsi="Arial"/>
        </w:rPr>
        <w:t>Associate</w:t>
      </w:r>
      <w:r w:rsidR="007A347B">
        <w:rPr>
          <w:rFonts w:ascii="Arial" w:hAnsi="Arial"/>
        </w:rPr>
        <w:t xml:space="preserve"> Dean of Academic Personnel, who then forward the list on </w:t>
      </w:r>
      <w:r w:rsidRPr="006A0DA5">
        <w:rPr>
          <w:rFonts w:ascii="Arial" w:hAnsi="Arial"/>
        </w:rPr>
        <w:t xml:space="preserve">to </w:t>
      </w:r>
      <w:r w:rsidR="007A347B">
        <w:rPr>
          <w:rFonts w:ascii="Arial" w:hAnsi="Arial"/>
        </w:rPr>
        <w:t xml:space="preserve">the </w:t>
      </w:r>
      <w:r w:rsidRPr="006A0DA5">
        <w:rPr>
          <w:rFonts w:ascii="Arial" w:hAnsi="Arial"/>
        </w:rPr>
        <w:t>Off</w:t>
      </w:r>
      <w:r w:rsidR="007A347B">
        <w:rPr>
          <w:rFonts w:ascii="Arial" w:hAnsi="Arial"/>
        </w:rPr>
        <w:t>ice of</w:t>
      </w:r>
      <w:r w:rsidRPr="006A0DA5">
        <w:rPr>
          <w:rFonts w:ascii="Arial" w:hAnsi="Arial"/>
        </w:rPr>
        <w:t xml:space="preserve"> Equity, Diversion &amp; Inclusion</w:t>
      </w:r>
      <w:r w:rsidR="007A347B">
        <w:rPr>
          <w:rFonts w:ascii="Arial" w:hAnsi="Arial"/>
        </w:rPr>
        <w:t xml:space="preserve"> -</w:t>
      </w:r>
      <w:r w:rsidR="009458C4">
        <w:rPr>
          <w:rFonts w:ascii="Arial" w:hAnsi="Arial"/>
        </w:rPr>
        <w:t xml:space="preserve"> Vice Chancellor for review.</w:t>
      </w:r>
    </w:p>
    <w:p w:rsidR="006A0DA5" w:rsidRDefault="006A0DA5" w:rsidP="0011735D">
      <w:pPr>
        <w:spacing w:line="360" w:lineRule="auto"/>
        <w:jc w:val="both"/>
        <w:rPr>
          <w:rFonts w:ascii="Arial" w:hAnsi="Arial"/>
        </w:rPr>
      </w:pPr>
      <w:r w:rsidRPr="006A0DA5">
        <w:rPr>
          <w:rFonts w:ascii="Arial" w:hAnsi="Arial"/>
        </w:rPr>
        <w:t>  </w:t>
      </w:r>
    </w:p>
    <w:p w:rsidR="006A0DA5" w:rsidRPr="00AF2E43" w:rsidRDefault="006A0DA5" w:rsidP="0011735D">
      <w:pPr>
        <w:spacing w:line="360" w:lineRule="auto"/>
        <w:jc w:val="both"/>
        <w:rPr>
          <w:rFonts w:ascii="Arial" w:hAnsi="Arial"/>
          <w:i/>
          <w:u w:val="single"/>
        </w:rPr>
      </w:pPr>
      <w:r w:rsidRPr="00AF2E43">
        <w:rPr>
          <w:rFonts w:ascii="Arial" w:hAnsi="Arial"/>
          <w:i/>
          <w:u w:val="single"/>
        </w:rPr>
        <w:t>Retention</w:t>
      </w:r>
    </w:p>
    <w:p w:rsidR="0037670C" w:rsidRDefault="0037670C" w:rsidP="0011735D">
      <w:pPr>
        <w:spacing w:line="360" w:lineRule="auto"/>
        <w:jc w:val="both"/>
        <w:rPr>
          <w:rFonts w:ascii="Arial" w:hAnsi="Arial"/>
        </w:rPr>
      </w:pPr>
    </w:p>
    <w:p w:rsidR="006A0DA5" w:rsidRPr="006A0DA5" w:rsidRDefault="00A0760A" w:rsidP="0011735D">
      <w:pPr>
        <w:spacing w:line="360" w:lineRule="auto"/>
        <w:jc w:val="both"/>
        <w:rPr>
          <w:rFonts w:ascii="Arial" w:hAnsi="Arial"/>
        </w:rPr>
      </w:pPr>
      <w:r>
        <w:rPr>
          <w:rFonts w:ascii="Arial" w:hAnsi="Arial"/>
        </w:rPr>
        <w:t xml:space="preserve">The </w:t>
      </w:r>
      <w:r w:rsidR="00494FCD">
        <w:rPr>
          <w:rFonts w:ascii="Arial" w:hAnsi="Arial"/>
        </w:rPr>
        <w:t>School</w:t>
      </w:r>
      <w:r w:rsidR="006A0DA5" w:rsidRPr="006A0DA5">
        <w:rPr>
          <w:rFonts w:ascii="Arial" w:hAnsi="Arial"/>
        </w:rPr>
        <w:t xml:space="preserve"> encourages th</w:t>
      </w:r>
      <w:r w:rsidR="000649F3">
        <w:rPr>
          <w:rFonts w:ascii="Arial" w:hAnsi="Arial"/>
        </w:rPr>
        <w:t xml:space="preserve">e retention of all strong staff, </w:t>
      </w:r>
      <w:r w:rsidR="006A0DA5" w:rsidRPr="006A0DA5">
        <w:rPr>
          <w:rFonts w:ascii="Arial" w:hAnsi="Arial"/>
        </w:rPr>
        <w:t>not to the det</w:t>
      </w:r>
      <w:r w:rsidR="000649F3">
        <w:rPr>
          <w:rFonts w:ascii="Arial" w:hAnsi="Arial"/>
        </w:rPr>
        <w:t xml:space="preserve">riment of race, </w:t>
      </w:r>
      <w:r w:rsidR="00D30CC0">
        <w:rPr>
          <w:rFonts w:ascii="Arial" w:hAnsi="Arial"/>
        </w:rPr>
        <w:t xml:space="preserve">gender, etc.  </w:t>
      </w:r>
      <w:r w:rsidR="000649F3">
        <w:rPr>
          <w:rFonts w:ascii="Arial" w:hAnsi="Arial"/>
        </w:rPr>
        <w:t xml:space="preserve">The </w:t>
      </w:r>
      <w:r w:rsidR="00494FCD">
        <w:rPr>
          <w:rFonts w:ascii="Arial" w:hAnsi="Arial"/>
        </w:rPr>
        <w:t>School</w:t>
      </w:r>
      <w:r w:rsidR="000649F3">
        <w:rPr>
          <w:rFonts w:ascii="Arial" w:hAnsi="Arial"/>
        </w:rPr>
        <w:t xml:space="preserve"> seeks</w:t>
      </w:r>
      <w:r w:rsidR="006A0DA5" w:rsidRPr="006A0DA5">
        <w:rPr>
          <w:rFonts w:ascii="Arial" w:hAnsi="Arial"/>
        </w:rPr>
        <w:t xml:space="preserve"> to retain the best and the brightest, and are open to all types of individuals.</w:t>
      </w:r>
    </w:p>
    <w:p w:rsidR="006A0DA5" w:rsidRPr="006A0DA5" w:rsidRDefault="006A0DA5" w:rsidP="0011735D">
      <w:pPr>
        <w:spacing w:line="360" w:lineRule="auto"/>
        <w:jc w:val="both"/>
        <w:rPr>
          <w:rFonts w:ascii="Arial" w:hAnsi="Arial"/>
        </w:rPr>
      </w:pPr>
      <w:r w:rsidRPr="006A0DA5">
        <w:rPr>
          <w:rFonts w:ascii="Arial" w:hAnsi="Arial"/>
        </w:rPr>
        <w:t> </w:t>
      </w:r>
    </w:p>
    <w:p w:rsidR="006A0DA5" w:rsidRPr="00AF2E43" w:rsidRDefault="006A0DA5" w:rsidP="0011735D">
      <w:pPr>
        <w:spacing w:line="360" w:lineRule="auto"/>
        <w:jc w:val="both"/>
        <w:rPr>
          <w:rFonts w:ascii="Arial" w:hAnsi="Arial"/>
          <w:i/>
          <w:u w:val="single"/>
        </w:rPr>
      </w:pPr>
      <w:r w:rsidRPr="00AF2E43">
        <w:rPr>
          <w:rFonts w:ascii="Arial" w:hAnsi="Arial"/>
          <w:i/>
          <w:u w:val="single"/>
        </w:rPr>
        <w:t>Separation</w:t>
      </w:r>
    </w:p>
    <w:p w:rsidR="0037670C" w:rsidRDefault="0037670C" w:rsidP="0011735D">
      <w:pPr>
        <w:spacing w:line="360" w:lineRule="auto"/>
        <w:jc w:val="both"/>
        <w:rPr>
          <w:rFonts w:ascii="Arial" w:hAnsi="Arial"/>
        </w:rPr>
      </w:pPr>
    </w:p>
    <w:p w:rsidR="006A0DA5" w:rsidRPr="006A0DA5" w:rsidRDefault="006A0DA5" w:rsidP="0037670C">
      <w:pPr>
        <w:spacing w:line="360" w:lineRule="auto"/>
        <w:jc w:val="both"/>
        <w:rPr>
          <w:rFonts w:ascii="Arial" w:hAnsi="Arial"/>
        </w:rPr>
      </w:pPr>
      <w:r w:rsidRPr="006A0DA5">
        <w:rPr>
          <w:rFonts w:ascii="Arial" w:hAnsi="Arial"/>
        </w:rPr>
        <w:t xml:space="preserve">On the academic side, if a faculty member is departing, the details are handled through the chair and </w:t>
      </w:r>
      <w:r w:rsidR="001A3AF8">
        <w:rPr>
          <w:rFonts w:ascii="Arial" w:hAnsi="Arial"/>
        </w:rPr>
        <w:t>APO</w:t>
      </w:r>
      <w:r w:rsidRPr="006A0DA5">
        <w:rPr>
          <w:rFonts w:ascii="Arial" w:hAnsi="Arial"/>
        </w:rPr>
        <w:t xml:space="preserve">.  </w:t>
      </w:r>
      <w:r w:rsidR="000649F3">
        <w:rPr>
          <w:rFonts w:ascii="Arial" w:hAnsi="Arial"/>
        </w:rPr>
        <w:t>I</w:t>
      </w:r>
      <w:r w:rsidRPr="006A0DA5">
        <w:rPr>
          <w:rFonts w:ascii="Arial" w:hAnsi="Arial"/>
        </w:rPr>
        <w:t xml:space="preserve">nformation is </w:t>
      </w:r>
      <w:r w:rsidR="000649F3">
        <w:rPr>
          <w:rFonts w:ascii="Arial" w:hAnsi="Arial"/>
        </w:rPr>
        <w:t xml:space="preserve">kept </w:t>
      </w:r>
      <w:r w:rsidRPr="006A0DA5">
        <w:rPr>
          <w:rFonts w:ascii="Arial" w:hAnsi="Arial"/>
        </w:rPr>
        <w:t>confidential</w:t>
      </w:r>
      <w:r w:rsidR="000649F3">
        <w:rPr>
          <w:rFonts w:ascii="Arial" w:hAnsi="Arial"/>
        </w:rPr>
        <w:t>, and is retained</w:t>
      </w:r>
      <w:r w:rsidRPr="006A0DA5">
        <w:rPr>
          <w:rFonts w:ascii="Arial" w:hAnsi="Arial"/>
        </w:rPr>
        <w:t xml:space="preserve"> within the archives of the department and the </w:t>
      </w:r>
      <w:r w:rsidR="00494FCD">
        <w:rPr>
          <w:rFonts w:ascii="Arial" w:hAnsi="Arial"/>
        </w:rPr>
        <w:t>School</w:t>
      </w:r>
      <w:r w:rsidRPr="006A0DA5">
        <w:rPr>
          <w:rFonts w:ascii="Arial" w:hAnsi="Arial"/>
        </w:rPr>
        <w:t xml:space="preserve">.  </w:t>
      </w:r>
    </w:p>
    <w:p w:rsidR="006A0DA5" w:rsidRPr="006A0DA5" w:rsidRDefault="006A0DA5" w:rsidP="0037670C">
      <w:pPr>
        <w:spacing w:line="360" w:lineRule="auto"/>
        <w:jc w:val="both"/>
        <w:rPr>
          <w:rFonts w:ascii="Arial" w:hAnsi="Arial"/>
        </w:rPr>
      </w:pPr>
      <w:r w:rsidRPr="006A0DA5">
        <w:rPr>
          <w:rFonts w:ascii="Arial" w:hAnsi="Arial"/>
        </w:rPr>
        <w:t> </w:t>
      </w:r>
    </w:p>
    <w:p w:rsidR="006A0DA5" w:rsidRDefault="006A6A9E">
      <w:pPr>
        <w:spacing w:line="360" w:lineRule="auto"/>
        <w:jc w:val="both"/>
        <w:rPr>
          <w:rFonts w:ascii="Arial" w:hAnsi="Arial"/>
        </w:rPr>
      </w:pPr>
      <w:r>
        <w:rPr>
          <w:rFonts w:ascii="Arial" w:hAnsi="Arial"/>
        </w:rPr>
        <w:t>E</w:t>
      </w:r>
      <w:r w:rsidR="006A0DA5" w:rsidRPr="006A0DA5">
        <w:rPr>
          <w:rFonts w:ascii="Arial" w:hAnsi="Arial"/>
        </w:rPr>
        <w:t xml:space="preserve">xit interviews </w:t>
      </w:r>
      <w:r w:rsidR="000649F3">
        <w:rPr>
          <w:rFonts w:ascii="Arial" w:hAnsi="Arial"/>
        </w:rPr>
        <w:t xml:space="preserve">are conducted </w:t>
      </w:r>
      <w:r w:rsidR="006A0DA5" w:rsidRPr="006A0DA5">
        <w:rPr>
          <w:rFonts w:ascii="Arial" w:hAnsi="Arial"/>
        </w:rPr>
        <w:t xml:space="preserve">with every staff member that departs, which is kept confidential, unless consent is waived.  </w:t>
      </w:r>
    </w:p>
    <w:p w:rsidR="006A0DA5" w:rsidRDefault="006A0DA5" w:rsidP="00EA4AD4">
      <w:pPr>
        <w:spacing w:line="360" w:lineRule="auto"/>
        <w:rPr>
          <w:rFonts w:ascii="Arial" w:hAnsi="Arial"/>
        </w:rPr>
      </w:pPr>
    </w:p>
    <w:p w:rsidR="006A0DA5" w:rsidRPr="00AF2E43" w:rsidRDefault="006A0DA5" w:rsidP="007C2AC3">
      <w:pPr>
        <w:spacing w:line="360" w:lineRule="auto"/>
        <w:outlineLvl w:val="2"/>
        <w:rPr>
          <w:rFonts w:ascii="Arial" w:hAnsi="Arial"/>
          <w:i/>
          <w:u w:val="single"/>
        </w:rPr>
      </w:pPr>
      <w:bookmarkStart w:id="13" w:name="_Toc453765955"/>
      <w:r w:rsidRPr="00AF2E43">
        <w:rPr>
          <w:rFonts w:ascii="Arial" w:hAnsi="Arial"/>
          <w:i/>
          <w:u w:val="single"/>
        </w:rPr>
        <w:t>Training</w:t>
      </w:r>
      <w:bookmarkEnd w:id="13"/>
    </w:p>
    <w:p w:rsidR="00AF40FD" w:rsidRPr="00904F76" w:rsidRDefault="00AF40FD" w:rsidP="00AF40FD">
      <w:pPr>
        <w:pStyle w:val="ListParagraph"/>
        <w:spacing w:line="360" w:lineRule="auto"/>
        <w:ind w:left="360"/>
        <w:rPr>
          <w:rFonts w:ascii="Arial" w:hAnsi="Arial"/>
          <w:u w:val="single"/>
        </w:rPr>
      </w:pPr>
    </w:p>
    <w:p w:rsidR="006A0DA5" w:rsidRPr="006A0DA5" w:rsidRDefault="006A0DA5" w:rsidP="00AF2E43">
      <w:pPr>
        <w:spacing w:line="360" w:lineRule="auto"/>
        <w:jc w:val="both"/>
        <w:rPr>
          <w:rFonts w:ascii="Arial" w:hAnsi="Arial"/>
        </w:rPr>
      </w:pPr>
      <w:r w:rsidRPr="006A0DA5">
        <w:rPr>
          <w:rFonts w:ascii="Arial" w:hAnsi="Arial"/>
        </w:rPr>
        <w:t>It appears that the bulk of the annual diversity training is geared towards field faculty,</w:t>
      </w:r>
      <w:r w:rsidR="00DE6339">
        <w:rPr>
          <w:rFonts w:ascii="Arial" w:hAnsi="Arial"/>
        </w:rPr>
        <w:t xml:space="preserve"> Student Affairs Officers</w:t>
      </w:r>
      <w:r w:rsidRPr="006A0DA5">
        <w:rPr>
          <w:rFonts w:ascii="Arial" w:hAnsi="Arial"/>
        </w:rPr>
        <w:t xml:space="preserve">, and students.  </w:t>
      </w:r>
      <w:r w:rsidR="00455106">
        <w:rPr>
          <w:rFonts w:ascii="Arial" w:hAnsi="Arial"/>
        </w:rPr>
        <w:t xml:space="preserve"> Training is required for f</w:t>
      </w:r>
      <w:r w:rsidRPr="006A0DA5">
        <w:rPr>
          <w:rFonts w:ascii="Arial" w:hAnsi="Arial"/>
        </w:rPr>
        <w:t xml:space="preserve">aculty </w:t>
      </w:r>
      <w:r w:rsidR="00455106">
        <w:rPr>
          <w:rFonts w:ascii="Arial" w:hAnsi="Arial"/>
        </w:rPr>
        <w:t xml:space="preserve">and students </w:t>
      </w:r>
      <w:r w:rsidRPr="006A0DA5">
        <w:rPr>
          <w:rFonts w:ascii="Arial" w:hAnsi="Arial"/>
        </w:rPr>
        <w:t xml:space="preserve">as part of the Luskin </w:t>
      </w:r>
      <w:r w:rsidR="00494FCD">
        <w:rPr>
          <w:rFonts w:ascii="Arial" w:hAnsi="Arial"/>
        </w:rPr>
        <w:t>School</w:t>
      </w:r>
      <w:r w:rsidRPr="006A0DA5">
        <w:rPr>
          <w:rFonts w:ascii="Arial" w:hAnsi="Arial"/>
        </w:rPr>
        <w:t xml:space="preserve"> orientation.  However, while diversity training is provided to staff attending campus new hire orientation sessions with a campus HR staff member, other staff may not receive such formal training.</w:t>
      </w:r>
    </w:p>
    <w:p w:rsidR="006A0DA5" w:rsidRPr="006A0DA5" w:rsidRDefault="006A0DA5" w:rsidP="0011735D">
      <w:pPr>
        <w:spacing w:line="360" w:lineRule="auto"/>
        <w:jc w:val="both"/>
        <w:rPr>
          <w:rFonts w:ascii="Arial" w:hAnsi="Arial"/>
        </w:rPr>
      </w:pPr>
      <w:r w:rsidRPr="006A0DA5">
        <w:rPr>
          <w:rFonts w:ascii="Arial" w:hAnsi="Arial"/>
        </w:rPr>
        <w:t> </w:t>
      </w:r>
    </w:p>
    <w:p w:rsidR="005B4611" w:rsidRDefault="006A0DA5" w:rsidP="00593B4F">
      <w:pPr>
        <w:spacing w:line="360" w:lineRule="auto"/>
        <w:jc w:val="both"/>
        <w:rPr>
          <w:rFonts w:ascii="Arial" w:hAnsi="Arial"/>
        </w:rPr>
      </w:pPr>
      <w:r w:rsidRPr="006A0DA5">
        <w:rPr>
          <w:rFonts w:ascii="Arial" w:hAnsi="Arial"/>
        </w:rPr>
        <w:t>The Staff Diversity and Compliance office provides diversity education for staff.  Training topics include affirmative action, equal opportunity, disability discrimination, managing diversity, and the complaint resolution process.   Also, this office conducts briefings and trainings for departments.</w:t>
      </w:r>
      <w:r w:rsidR="00DB21ED">
        <w:rPr>
          <w:rFonts w:ascii="Arial" w:hAnsi="Arial"/>
        </w:rPr>
        <w:t xml:space="preserve">  </w:t>
      </w:r>
    </w:p>
    <w:p w:rsidR="00EA4AD4" w:rsidRDefault="006A0DA5" w:rsidP="00AF2E43">
      <w:pPr>
        <w:spacing w:line="360" w:lineRule="auto"/>
        <w:jc w:val="both"/>
        <w:rPr>
          <w:rFonts w:ascii="Arial" w:hAnsi="Arial"/>
          <w:u w:val="single"/>
        </w:rPr>
      </w:pPr>
      <w:r w:rsidRPr="006A0DA5">
        <w:rPr>
          <w:rFonts w:ascii="Arial" w:hAnsi="Arial"/>
        </w:rPr>
        <w:t>Management indicated that they have reached out to this are</w:t>
      </w:r>
      <w:r w:rsidR="00DB21ED">
        <w:rPr>
          <w:rFonts w:ascii="Arial" w:hAnsi="Arial"/>
        </w:rPr>
        <w:t>a for formal staff training.</w:t>
      </w:r>
      <w:r w:rsidR="005B4611" w:rsidRPr="007C2AC3">
        <w:rPr>
          <w:rFonts w:ascii="Arial" w:hAnsi="Arial"/>
        </w:rPr>
        <w:t xml:space="preserve">  </w:t>
      </w:r>
      <w:r w:rsidR="004A2703" w:rsidRPr="004A2703">
        <w:rPr>
          <w:rFonts w:ascii="Arial" w:hAnsi="Arial"/>
        </w:rPr>
        <w:t xml:space="preserve">A&amp;AS supports management's efforts to provide diversity training to staff.  </w:t>
      </w:r>
    </w:p>
    <w:p w:rsidR="00EA4AD4" w:rsidRDefault="00EA4AD4" w:rsidP="00E9220C">
      <w:pPr>
        <w:spacing w:line="360" w:lineRule="auto"/>
        <w:rPr>
          <w:rFonts w:ascii="Arial" w:hAnsi="Arial"/>
          <w:u w:val="single"/>
        </w:rPr>
      </w:pPr>
    </w:p>
    <w:p w:rsidR="00E9220C" w:rsidRPr="00211748" w:rsidRDefault="00E9220C" w:rsidP="00AF2E43">
      <w:pPr>
        <w:pStyle w:val="Heading2"/>
        <w:spacing w:before="0" w:line="360" w:lineRule="auto"/>
        <w:jc w:val="center"/>
        <w:rPr>
          <w:rFonts w:ascii="Arial" w:hAnsi="Arial"/>
          <w:b w:val="0"/>
          <w:color w:val="auto"/>
          <w:sz w:val="24"/>
          <w:szCs w:val="24"/>
          <w:u w:val="single"/>
        </w:rPr>
      </w:pPr>
      <w:bookmarkStart w:id="14" w:name="_Toc453765956"/>
      <w:r w:rsidRPr="00211748">
        <w:rPr>
          <w:rFonts w:ascii="Arial" w:hAnsi="Arial"/>
          <w:b w:val="0"/>
          <w:color w:val="auto"/>
          <w:sz w:val="24"/>
          <w:szCs w:val="24"/>
          <w:u w:val="single"/>
        </w:rPr>
        <w:t>Budget and Planning Processes</w:t>
      </w:r>
      <w:bookmarkEnd w:id="14"/>
    </w:p>
    <w:p w:rsidR="00896110" w:rsidRPr="00E9220C" w:rsidRDefault="00896110" w:rsidP="0037670C">
      <w:pPr>
        <w:spacing w:line="360" w:lineRule="auto"/>
        <w:jc w:val="both"/>
        <w:rPr>
          <w:rFonts w:ascii="Arial" w:hAnsi="Arial"/>
          <w:u w:val="single"/>
        </w:rPr>
      </w:pPr>
    </w:p>
    <w:p w:rsidR="00896110" w:rsidRDefault="000E1912" w:rsidP="0037670C">
      <w:pPr>
        <w:spacing w:line="360" w:lineRule="auto"/>
        <w:jc w:val="both"/>
        <w:rPr>
          <w:rFonts w:ascii="Arial" w:hAnsi="Arial"/>
        </w:rPr>
      </w:pPr>
      <w:r>
        <w:rPr>
          <w:rFonts w:ascii="Arial" w:hAnsi="Arial"/>
        </w:rPr>
        <w:t xml:space="preserve">Audit review included discussions with management, </w:t>
      </w:r>
      <w:r w:rsidR="00A21681">
        <w:rPr>
          <w:rFonts w:ascii="Arial" w:hAnsi="Arial"/>
        </w:rPr>
        <w:t xml:space="preserve">and review of </w:t>
      </w:r>
      <w:r>
        <w:rPr>
          <w:rFonts w:ascii="Arial" w:hAnsi="Arial"/>
        </w:rPr>
        <w:t xml:space="preserve">related policies and procedures.  Also, </w:t>
      </w:r>
      <w:r w:rsidR="00483C39">
        <w:rPr>
          <w:rFonts w:ascii="Arial" w:hAnsi="Arial"/>
        </w:rPr>
        <w:t>organization</w:t>
      </w:r>
      <w:r>
        <w:rPr>
          <w:rFonts w:ascii="Arial" w:hAnsi="Arial"/>
        </w:rPr>
        <w:t xml:space="preserve"> level</w:t>
      </w:r>
      <w:r w:rsidR="00896110" w:rsidRPr="00896110">
        <w:rPr>
          <w:rFonts w:ascii="Arial" w:hAnsi="Arial"/>
        </w:rPr>
        <w:t xml:space="preserve"> CBIG reports for </w:t>
      </w:r>
      <w:r w:rsidR="00FB2FD1">
        <w:rPr>
          <w:rFonts w:ascii="Arial" w:hAnsi="Arial"/>
        </w:rPr>
        <w:t>fiscal year</w:t>
      </w:r>
      <w:r w:rsidR="00896110" w:rsidRPr="00896110">
        <w:rPr>
          <w:rFonts w:ascii="Arial" w:hAnsi="Arial"/>
        </w:rPr>
        <w:t xml:space="preserve"> </w:t>
      </w:r>
      <w:r>
        <w:rPr>
          <w:rFonts w:ascii="Arial" w:hAnsi="Arial"/>
        </w:rPr>
        <w:t>20</w:t>
      </w:r>
      <w:r w:rsidR="00896110" w:rsidRPr="00896110">
        <w:rPr>
          <w:rFonts w:ascii="Arial" w:hAnsi="Arial"/>
        </w:rPr>
        <w:t xml:space="preserve">14-15 and </w:t>
      </w:r>
      <w:r w:rsidR="00FB2FD1">
        <w:rPr>
          <w:rFonts w:ascii="Arial" w:hAnsi="Arial"/>
        </w:rPr>
        <w:t>fiscal year</w:t>
      </w:r>
      <w:r w:rsidR="00896110" w:rsidRPr="00896110">
        <w:rPr>
          <w:rFonts w:ascii="Arial" w:hAnsi="Arial"/>
        </w:rPr>
        <w:t xml:space="preserve"> </w:t>
      </w:r>
      <w:r>
        <w:rPr>
          <w:rFonts w:ascii="Arial" w:hAnsi="Arial"/>
        </w:rPr>
        <w:t>20</w:t>
      </w:r>
      <w:r w:rsidR="00896110" w:rsidRPr="00896110">
        <w:rPr>
          <w:rFonts w:ascii="Arial" w:hAnsi="Arial"/>
        </w:rPr>
        <w:t>15-16</w:t>
      </w:r>
      <w:r>
        <w:rPr>
          <w:rFonts w:ascii="Arial" w:hAnsi="Arial"/>
        </w:rPr>
        <w:t>, including variance reports</w:t>
      </w:r>
      <w:r w:rsidR="00483C39">
        <w:rPr>
          <w:rFonts w:ascii="Arial" w:hAnsi="Arial"/>
        </w:rPr>
        <w:t xml:space="preserve"> were reviewed</w:t>
      </w:r>
      <w:r w:rsidR="00896110" w:rsidRPr="00896110">
        <w:rPr>
          <w:rFonts w:ascii="Arial" w:hAnsi="Arial"/>
        </w:rPr>
        <w:t xml:space="preserve">.  </w:t>
      </w:r>
    </w:p>
    <w:p w:rsidR="00E9220C" w:rsidRPr="00E9220C" w:rsidRDefault="00E9220C" w:rsidP="00EA4AD4">
      <w:pPr>
        <w:spacing w:line="360" w:lineRule="auto"/>
        <w:jc w:val="both"/>
        <w:rPr>
          <w:rFonts w:ascii="Arial" w:hAnsi="Arial"/>
        </w:rPr>
      </w:pPr>
      <w:r w:rsidRPr="00E9220C">
        <w:rPr>
          <w:rFonts w:ascii="Arial" w:hAnsi="Arial"/>
        </w:rPr>
        <w:t> </w:t>
      </w:r>
    </w:p>
    <w:p w:rsidR="00F15257" w:rsidRDefault="00A470CE" w:rsidP="00E9220C">
      <w:pPr>
        <w:spacing w:line="360" w:lineRule="auto"/>
        <w:jc w:val="both"/>
        <w:rPr>
          <w:rFonts w:ascii="Arial" w:hAnsi="Arial"/>
        </w:rPr>
      </w:pPr>
      <w:r>
        <w:rPr>
          <w:rFonts w:ascii="Arial" w:hAnsi="Arial"/>
        </w:rPr>
        <w:t>Budgets are developed annually</w:t>
      </w:r>
      <w:r w:rsidR="00E9220C" w:rsidRPr="00E9220C">
        <w:rPr>
          <w:rFonts w:ascii="Arial" w:hAnsi="Arial"/>
        </w:rPr>
        <w:t xml:space="preserve"> an</w:t>
      </w:r>
      <w:r w:rsidR="005D6575">
        <w:rPr>
          <w:rFonts w:ascii="Arial" w:hAnsi="Arial"/>
        </w:rPr>
        <w:t>d</w:t>
      </w:r>
      <w:r>
        <w:rPr>
          <w:rFonts w:ascii="Arial" w:hAnsi="Arial"/>
        </w:rPr>
        <w:t xml:space="preserve"> monitored throughout the year.  S</w:t>
      </w:r>
      <w:r w:rsidR="00E9220C" w:rsidRPr="00E9220C">
        <w:rPr>
          <w:rFonts w:ascii="Arial" w:hAnsi="Arial"/>
        </w:rPr>
        <w:t xml:space="preserve">ignificant variances </w:t>
      </w:r>
      <w:r w:rsidR="00F15257">
        <w:rPr>
          <w:rFonts w:ascii="Arial" w:hAnsi="Arial"/>
        </w:rPr>
        <w:t>are</w:t>
      </w:r>
      <w:r w:rsidR="00CD09C0">
        <w:rPr>
          <w:rFonts w:ascii="Arial" w:hAnsi="Arial"/>
        </w:rPr>
        <w:t xml:space="preserve"> inv</w:t>
      </w:r>
      <w:r w:rsidR="009658A3">
        <w:rPr>
          <w:rFonts w:ascii="Arial" w:hAnsi="Arial"/>
        </w:rPr>
        <w:t xml:space="preserve">estigated and explained, </w:t>
      </w:r>
      <w:r w:rsidR="001A3AF8">
        <w:rPr>
          <w:rFonts w:ascii="Arial" w:hAnsi="Arial"/>
        </w:rPr>
        <w:t>including how any</w:t>
      </w:r>
      <w:r w:rsidR="00E9220C" w:rsidRPr="00E9220C">
        <w:rPr>
          <w:rFonts w:ascii="Arial" w:hAnsi="Arial"/>
        </w:rPr>
        <w:t xml:space="preserve"> variance</w:t>
      </w:r>
      <w:r w:rsidR="001A3AF8">
        <w:rPr>
          <w:rFonts w:ascii="Arial" w:hAnsi="Arial"/>
        </w:rPr>
        <w:t>s</w:t>
      </w:r>
      <w:r w:rsidR="00E9220C" w:rsidRPr="00E9220C">
        <w:rPr>
          <w:rFonts w:ascii="Arial" w:hAnsi="Arial"/>
        </w:rPr>
        <w:t xml:space="preserve"> will be covered.  The Dean's Office, the fund manager, and the departm</w:t>
      </w:r>
      <w:r w:rsidR="009658A3">
        <w:rPr>
          <w:rFonts w:ascii="Arial" w:hAnsi="Arial"/>
        </w:rPr>
        <w:t>ent manager are involved in these</w:t>
      </w:r>
      <w:r w:rsidR="00E9220C" w:rsidRPr="00E9220C">
        <w:rPr>
          <w:rFonts w:ascii="Arial" w:hAnsi="Arial"/>
        </w:rPr>
        <w:t xml:space="preserve"> discussion</w:t>
      </w:r>
      <w:r w:rsidR="009658A3">
        <w:rPr>
          <w:rFonts w:ascii="Arial" w:hAnsi="Arial"/>
        </w:rPr>
        <w:t>s as well</w:t>
      </w:r>
      <w:r w:rsidR="00E9220C" w:rsidRPr="00E9220C">
        <w:rPr>
          <w:rFonts w:ascii="Arial" w:hAnsi="Arial"/>
        </w:rPr>
        <w:t>. </w:t>
      </w:r>
      <w:r w:rsidR="00F15257">
        <w:rPr>
          <w:rFonts w:ascii="Arial" w:hAnsi="Arial"/>
        </w:rPr>
        <w:t xml:space="preserve"> Further, </w:t>
      </w:r>
      <w:r w:rsidR="001A3AF8">
        <w:rPr>
          <w:rFonts w:ascii="Arial" w:hAnsi="Arial"/>
        </w:rPr>
        <w:t xml:space="preserve">any </w:t>
      </w:r>
      <w:r w:rsidR="00F15257">
        <w:rPr>
          <w:rFonts w:ascii="Arial" w:hAnsi="Arial"/>
        </w:rPr>
        <w:t xml:space="preserve">significant variances are discussed with the appropriate parties within </w:t>
      </w:r>
      <w:r w:rsidR="00F15257" w:rsidRPr="00E9220C">
        <w:rPr>
          <w:rFonts w:ascii="Arial" w:hAnsi="Arial"/>
        </w:rPr>
        <w:t>Ac</w:t>
      </w:r>
      <w:r w:rsidR="00DE6339">
        <w:rPr>
          <w:rFonts w:ascii="Arial" w:hAnsi="Arial"/>
        </w:rPr>
        <w:t>ademic Planning and Budget</w:t>
      </w:r>
      <w:r w:rsidR="00F15257">
        <w:rPr>
          <w:rFonts w:ascii="Arial" w:hAnsi="Arial"/>
        </w:rPr>
        <w:t>.</w:t>
      </w:r>
    </w:p>
    <w:p w:rsidR="001A3AF8" w:rsidRDefault="001A3AF8" w:rsidP="00E9220C">
      <w:pPr>
        <w:spacing w:line="360" w:lineRule="auto"/>
        <w:jc w:val="both"/>
        <w:rPr>
          <w:rFonts w:ascii="Arial" w:hAnsi="Arial"/>
        </w:rPr>
      </w:pPr>
    </w:p>
    <w:p w:rsidR="001A3AF8" w:rsidRDefault="001A3AF8" w:rsidP="00E9220C">
      <w:pPr>
        <w:spacing w:line="360" w:lineRule="auto"/>
        <w:jc w:val="both"/>
        <w:rPr>
          <w:rFonts w:ascii="Arial" w:hAnsi="Arial"/>
        </w:rPr>
      </w:pPr>
      <w:r>
        <w:rPr>
          <w:rFonts w:ascii="Arial" w:hAnsi="Arial"/>
        </w:rPr>
        <w:t xml:space="preserve">Test work indicated the </w:t>
      </w:r>
      <w:r w:rsidR="00494FCD">
        <w:rPr>
          <w:rFonts w:ascii="Arial" w:hAnsi="Arial"/>
        </w:rPr>
        <w:t>School</w:t>
      </w:r>
      <w:r>
        <w:rPr>
          <w:rFonts w:ascii="Arial" w:hAnsi="Arial"/>
        </w:rPr>
        <w:t xml:space="preserve"> is in the black and any shortfalls are covered by carryforwards from prior years.</w:t>
      </w:r>
      <w:r w:rsidRPr="00AF2E43">
        <w:rPr>
          <w:rFonts w:ascii="Arial" w:hAnsi="Arial"/>
        </w:rPr>
        <w:t xml:space="preserve"> The most significant variance </w:t>
      </w:r>
      <w:r w:rsidRPr="001A3AF8">
        <w:rPr>
          <w:rFonts w:ascii="Arial" w:hAnsi="Arial"/>
        </w:rPr>
        <w:t xml:space="preserve">at </w:t>
      </w:r>
      <w:r>
        <w:rPr>
          <w:rFonts w:ascii="Arial" w:hAnsi="Arial"/>
        </w:rPr>
        <w:t>June 30, 2015</w:t>
      </w:r>
      <w:r w:rsidR="00DE6339">
        <w:rPr>
          <w:rFonts w:ascii="Arial" w:hAnsi="Arial"/>
        </w:rPr>
        <w:t xml:space="preserve">, </w:t>
      </w:r>
      <w:r w:rsidR="00DE6339" w:rsidRPr="00AF2E43">
        <w:rPr>
          <w:rFonts w:ascii="Arial" w:hAnsi="Arial"/>
        </w:rPr>
        <w:t>was</w:t>
      </w:r>
      <w:r w:rsidRPr="001A3AF8">
        <w:rPr>
          <w:rFonts w:ascii="Arial" w:hAnsi="Arial"/>
        </w:rPr>
        <w:t xml:space="preserve"> in </w:t>
      </w:r>
      <w:r>
        <w:rPr>
          <w:rFonts w:ascii="Arial" w:hAnsi="Arial"/>
        </w:rPr>
        <w:t>their</w:t>
      </w:r>
      <w:r w:rsidRPr="00AF2E43">
        <w:rPr>
          <w:rFonts w:ascii="Arial" w:hAnsi="Arial"/>
        </w:rPr>
        <w:t xml:space="preserve"> Professional Deg</w:t>
      </w:r>
      <w:r w:rsidR="00DE6339">
        <w:rPr>
          <w:rFonts w:ascii="Arial" w:hAnsi="Arial"/>
        </w:rPr>
        <w:t>rees Supplemental Tuition</w:t>
      </w:r>
      <w:r>
        <w:rPr>
          <w:rFonts w:ascii="Arial" w:hAnsi="Arial"/>
        </w:rPr>
        <w:t xml:space="preserve"> revenue</w:t>
      </w:r>
      <w:r w:rsidRPr="00AF2E43">
        <w:rPr>
          <w:rFonts w:ascii="Arial" w:hAnsi="Arial"/>
        </w:rPr>
        <w:t xml:space="preserve">, which </w:t>
      </w:r>
      <w:r>
        <w:rPr>
          <w:rFonts w:ascii="Arial" w:hAnsi="Arial"/>
        </w:rPr>
        <w:t>was the result of</w:t>
      </w:r>
      <w:r w:rsidRPr="00AF2E43">
        <w:rPr>
          <w:rFonts w:ascii="Arial" w:hAnsi="Arial"/>
        </w:rPr>
        <w:t xml:space="preserve"> lower than </w:t>
      </w:r>
      <w:r>
        <w:rPr>
          <w:rFonts w:ascii="Arial" w:hAnsi="Arial"/>
        </w:rPr>
        <w:t>anticipated</w:t>
      </w:r>
      <w:r w:rsidRPr="00AF2E43">
        <w:rPr>
          <w:rFonts w:ascii="Arial" w:hAnsi="Arial"/>
        </w:rPr>
        <w:t xml:space="preserve"> student enrollment.</w:t>
      </w:r>
      <w:r>
        <w:t xml:space="preserve">  </w:t>
      </w:r>
    </w:p>
    <w:p w:rsidR="00E9220C" w:rsidRPr="00E9220C" w:rsidRDefault="00E9220C" w:rsidP="00E9220C">
      <w:pPr>
        <w:spacing w:line="360" w:lineRule="auto"/>
        <w:jc w:val="both"/>
        <w:rPr>
          <w:rFonts w:ascii="Arial" w:hAnsi="Arial"/>
        </w:rPr>
      </w:pPr>
      <w:r w:rsidRPr="00E9220C">
        <w:rPr>
          <w:rFonts w:ascii="Arial" w:hAnsi="Arial"/>
        </w:rPr>
        <w:t>  </w:t>
      </w:r>
    </w:p>
    <w:p w:rsidR="00E9220C" w:rsidRDefault="00A84FAA" w:rsidP="00AF2E43">
      <w:pPr>
        <w:spacing w:line="360" w:lineRule="auto"/>
        <w:jc w:val="both"/>
        <w:rPr>
          <w:rFonts w:ascii="Arial" w:hAnsi="Arial"/>
        </w:rPr>
      </w:pPr>
      <w:r>
        <w:rPr>
          <w:rFonts w:ascii="Arial" w:hAnsi="Arial"/>
        </w:rPr>
        <w:t>There were no significant control weaknesses identified in this area.</w:t>
      </w:r>
    </w:p>
    <w:p w:rsidR="004D1F04" w:rsidRDefault="004D1F04" w:rsidP="00AF2E43">
      <w:pPr>
        <w:spacing w:line="360" w:lineRule="auto"/>
        <w:jc w:val="both"/>
        <w:rPr>
          <w:rFonts w:ascii="Arial" w:hAnsi="Arial"/>
        </w:rPr>
      </w:pPr>
    </w:p>
    <w:p w:rsidR="004D1F04" w:rsidRDefault="004D1F04" w:rsidP="00AF2E43">
      <w:pPr>
        <w:spacing w:line="360" w:lineRule="auto"/>
        <w:jc w:val="both"/>
        <w:rPr>
          <w:rFonts w:ascii="Arial" w:hAnsi="Arial"/>
        </w:rPr>
      </w:pPr>
    </w:p>
    <w:p w:rsidR="004D1F04" w:rsidRDefault="004D1F04" w:rsidP="00AF2E43">
      <w:pPr>
        <w:spacing w:line="360" w:lineRule="auto"/>
        <w:jc w:val="both"/>
        <w:rPr>
          <w:rFonts w:ascii="Arial" w:hAnsi="Arial"/>
        </w:rPr>
      </w:pPr>
    </w:p>
    <w:p w:rsidR="004D1F04" w:rsidRDefault="004D1F04" w:rsidP="00AF2E43">
      <w:pPr>
        <w:spacing w:line="360" w:lineRule="auto"/>
        <w:jc w:val="both"/>
        <w:rPr>
          <w:rFonts w:ascii="Arial" w:hAnsi="Arial"/>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593B4F" w:rsidRDefault="00593B4F" w:rsidP="004D1F04">
      <w:pPr>
        <w:jc w:val="both"/>
        <w:rPr>
          <w:rFonts w:ascii="Arial" w:hAnsi="Arial"/>
          <w:sz w:val="16"/>
          <w:szCs w:val="16"/>
        </w:rPr>
      </w:pPr>
    </w:p>
    <w:p w:rsidR="004D1F04" w:rsidRPr="004D1F04" w:rsidRDefault="004D1F04" w:rsidP="004D1F04">
      <w:pPr>
        <w:jc w:val="both"/>
        <w:rPr>
          <w:rFonts w:ascii="Arial" w:hAnsi="Arial"/>
          <w:sz w:val="16"/>
          <w:szCs w:val="16"/>
        </w:rPr>
      </w:pPr>
      <w:bookmarkStart w:id="15" w:name="_GoBack"/>
      <w:bookmarkEnd w:id="15"/>
      <w:r w:rsidRPr="004D1F04">
        <w:rPr>
          <w:rFonts w:ascii="Arial" w:hAnsi="Arial"/>
          <w:sz w:val="16"/>
          <w:szCs w:val="16"/>
        </w:rPr>
        <w:t>160628-5</w:t>
      </w:r>
    </w:p>
    <w:p w:rsidR="004D1F04" w:rsidRPr="004D1F04" w:rsidRDefault="004D1F04" w:rsidP="004D1F04">
      <w:pPr>
        <w:jc w:val="both"/>
        <w:rPr>
          <w:sz w:val="16"/>
          <w:szCs w:val="16"/>
        </w:rPr>
      </w:pPr>
      <w:r w:rsidRPr="004D1F04">
        <w:rPr>
          <w:rFonts w:ascii="Arial" w:hAnsi="Arial"/>
          <w:sz w:val="16"/>
          <w:szCs w:val="16"/>
        </w:rPr>
        <w:t>REP</w:t>
      </w:r>
    </w:p>
    <w:sectPr w:rsidR="004D1F04" w:rsidRPr="004D1F04" w:rsidSect="004D1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9A" w:rsidRDefault="009E139A">
      <w:r>
        <w:separator/>
      </w:r>
    </w:p>
  </w:endnote>
  <w:endnote w:type="continuationSeparator" w:id="0">
    <w:p w:rsidR="009E139A" w:rsidRDefault="009E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39701"/>
      <w:docPartObj>
        <w:docPartGallery w:val="Page Numbers (Bottom of Page)"/>
        <w:docPartUnique/>
      </w:docPartObj>
    </w:sdtPr>
    <w:sdtEndPr>
      <w:rPr>
        <w:rFonts w:ascii="Arial" w:hAnsi="Arial" w:cs="Arial"/>
        <w:noProof/>
      </w:rPr>
    </w:sdtEndPr>
    <w:sdtContent>
      <w:p w:rsidR="0061225D" w:rsidRPr="00F2420D" w:rsidRDefault="0061225D" w:rsidP="00FA0F0E">
        <w:pPr>
          <w:pStyle w:val="Footer"/>
          <w:jc w:val="center"/>
          <w:rPr>
            <w:rFonts w:ascii="Arial" w:hAnsi="Arial" w:cs="Arial"/>
          </w:rPr>
        </w:pPr>
        <w:r w:rsidRPr="00B17292">
          <w:rPr>
            <w:rFonts w:ascii="Arial" w:hAnsi="Arial" w:cs="Arial"/>
          </w:rPr>
          <w:fldChar w:fldCharType="begin"/>
        </w:r>
        <w:r w:rsidRPr="00B17292">
          <w:rPr>
            <w:rFonts w:ascii="Arial" w:hAnsi="Arial" w:cs="Arial"/>
          </w:rPr>
          <w:instrText xml:space="preserve"> PAGE   \* MERGEFORMAT </w:instrText>
        </w:r>
        <w:r w:rsidRPr="00B17292">
          <w:rPr>
            <w:rFonts w:ascii="Arial" w:hAnsi="Arial" w:cs="Arial"/>
          </w:rPr>
          <w:fldChar w:fldCharType="separate"/>
        </w:r>
        <w:r w:rsidR="00593B4F">
          <w:rPr>
            <w:rFonts w:ascii="Arial" w:hAnsi="Arial" w:cs="Arial"/>
            <w:noProof/>
          </w:rPr>
          <w:t>24</w:t>
        </w:r>
        <w:r w:rsidRPr="00B17292">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9A" w:rsidRDefault="009E139A">
      <w:r>
        <w:separator/>
      </w:r>
    </w:p>
  </w:footnote>
  <w:footnote w:type="continuationSeparator" w:id="0">
    <w:p w:rsidR="009E139A" w:rsidRDefault="009E1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25D" w:rsidRDefault="0061225D" w:rsidP="00FA0F0E">
    <w:pPr>
      <w:pStyle w:val="Header"/>
      <w:jc w:val="center"/>
    </w:pPr>
  </w:p>
  <w:p w:rsidR="0061225D" w:rsidRDefault="00612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5AF"/>
    <w:multiLevelType w:val="hybridMultilevel"/>
    <w:tmpl w:val="A4246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93BB6"/>
    <w:multiLevelType w:val="hybridMultilevel"/>
    <w:tmpl w:val="0212BE8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72703A"/>
    <w:multiLevelType w:val="hybridMultilevel"/>
    <w:tmpl w:val="03B44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11EE2"/>
    <w:multiLevelType w:val="hybridMultilevel"/>
    <w:tmpl w:val="5F0CCA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B5D4A"/>
    <w:multiLevelType w:val="hybridMultilevel"/>
    <w:tmpl w:val="6852893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DD8148A"/>
    <w:multiLevelType w:val="hybridMultilevel"/>
    <w:tmpl w:val="EC9006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8C0824"/>
    <w:multiLevelType w:val="hybridMultilevel"/>
    <w:tmpl w:val="058AF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76F2E"/>
    <w:multiLevelType w:val="hybridMultilevel"/>
    <w:tmpl w:val="12F252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8442BD"/>
    <w:multiLevelType w:val="hybridMultilevel"/>
    <w:tmpl w:val="CB6EF6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C612EFC"/>
    <w:multiLevelType w:val="hybridMultilevel"/>
    <w:tmpl w:val="8E62C3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1242A6"/>
    <w:multiLevelType w:val="hybridMultilevel"/>
    <w:tmpl w:val="3D1A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F3898"/>
    <w:multiLevelType w:val="hybridMultilevel"/>
    <w:tmpl w:val="A3F8D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7827F4"/>
    <w:multiLevelType w:val="hybridMultilevel"/>
    <w:tmpl w:val="28602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E6920"/>
    <w:multiLevelType w:val="hybridMultilevel"/>
    <w:tmpl w:val="63BA6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96370"/>
    <w:multiLevelType w:val="hybridMultilevel"/>
    <w:tmpl w:val="F252BF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553E21"/>
    <w:multiLevelType w:val="hybridMultilevel"/>
    <w:tmpl w:val="63542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70692"/>
    <w:multiLevelType w:val="hybridMultilevel"/>
    <w:tmpl w:val="CBC282B8"/>
    <w:lvl w:ilvl="0" w:tplc="1D908BDA">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565D2"/>
    <w:multiLevelType w:val="hybridMultilevel"/>
    <w:tmpl w:val="D19C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C423C"/>
    <w:multiLevelType w:val="hybridMultilevel"/>
    <w:tmpl w:val="C76C2F6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DD3627"/>
    <w:multiLevelType w:val="hybridMultilevel"/>
    <w:tmpl w:val="6FE41D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077576"/>
    <w:multiLevelType w:val="hybridMultilevel"/>
    <w:tmpl w:val="A02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95A94"/>
    <w:multiLevelType w:val="hybridMultilevel"/>
    <w:tmpl w:val="5EDA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A22BE"/>
    <w:multiLevelType w:val="hybridMultilevel"/>
    <w:tmpl w:val="625E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F75AD"/>
    <w:multiLevelType w:val="hybridMultilevel"/>
    <w:tmpl w:val="B36CC44C"/>
    <w:lvl w:ilvl="0" w:tplc="F30A8E5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74CAD"/>
    <w:multiLevelType w:val="hybridMultilevel"/>
    <w:tmpl w:val="898AD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24922"/>
    <w:multiLevelType w:val="hybridMultilevel"/>
    <w:tmpl w:val="44D2A9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1745A5"/>
    <w:multiLevelType w:val="hybridMultilevel"/>
    <w:tmpl w:val="0D024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90760"/>
    <w:multiLevelType w:val="hybridMultilevel"/>
    <w:tmpl w:val="1B0CEB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ED2630"/>
    <w:multiLevelType w:val="hybridMultilevel"/>
    <w:tmpl w:val="59AEBF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5B05AC5"/>
    <w:multiLevelType w:val="hybridMultilevel"/>
    <w:tmpl w:val="0A20E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782554"/>
    <w:multiLevelType w:val="hybridMultilevel"/>
    <w:tmpl w:val="9EEA022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D11ABC"/>
    <w:multiLevelType w:val="hybridMultilevel"/>
    <w:tmpl w:val="93A0EC8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8B47FA8"/>
    <w:multiLevelType w:val="hybridMultilevel"/>
    <w:tmpl w:val="28DCD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E61D4E"/>
    <w:multiLevelType w:val="hybridMultilevel"/>
    <w:tmpl w:val="28F482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DD49EF"/>
    <w:multiLevelType w:val="hybridMultilevel"/>
    <w:tmpl w:val="604CD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31475C"/>
    <w:multiLevelType w:val="hybridMultilevel"/>
    <w:tmpl w:val="8BD88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7"/>
  </w:num>
  <w:num w:numId="4">
    <w:abstractNumId w:val="14"/>
  </w:num>
  <w:num w:numId="5">
    <w:abstractNumId w:val="27"/>
  </w:num>
  <w:num w:numId="6">
    <w:abstractNumId w:val="30"/>
  </w:num>
  <w:num w:numId="7">
    <w:abstractNumId w:val="5"/>
  </w:num>
  <w:num w:numId="8">
    <w:abstractNumId w:val="25"/>
  </w:num>
  <w:num w:numId="9">
    <w:abstractNumId w:val="19"/>
  </w:num>
  <w:num w:numId="10">
    <w:abstractNumId w:val="18"/>
  </w:num>
  <w:num w:numId="11">
    <w:abstractNumId w:val="1"/>
  </w:num>
  <w:num w:numId="12">
    <w:abstractNumId w:val="23"/>
  </w:num>
  <w:num w:numId="13">
    <w:abstractNumId w:val="16"/>
  </w:num>
  <w:num w:numId="14">
    <w:abstractNumId w:val="20"/>
  </w:num>
  <w:num w:numId="15">
    <w:abstractNumId w:val="12"/>
  </w:num>
  <w:num w:numId="16">
    <w:abstractNumId w:val="34"/>
  </w:num>
  <w:num w:numId="17">
    <w:abstractNumId w:val="2"/>
  </w:num>
  <w:num w:numId="18">
    <w:abstractNumId w:val="29"/>
  </w:num>
  <w:num w:numId="19">
    <w:abstractNumId w:val="10"/>
  </w:num>
  <w:num w:numId="20">
    <w:abstractNumId w:val="17"/>
  </w:num>
  <w:num w:numId="21">
    <w:abstractNumId w:val="22"/>
  </w:num>
  <w:num w:numId="22">
    <w:abstractNumId w:val="21"/>
  </w:num>
  <w:num w:numId="23">
    <w:abstractNumId w:val="11"/>
  </w:num>
  <w:num w:numId="24">
    <w:abstractNumId w:val="3"/>
  </w:num>
  <w:num w:numId="25">
    <w:abstractNumId w:val="9"/>
  </w:num>
  <w:num w:numId="26">
    <w:abstractNumId w:val="4"/>
  </w:num>
  <w:num w:numId="27">
    <w:abstractNumId w:val="28"/>
  </w:num>
  <w:num w:numId="28">
    <w:abstractNumId w:val="32"/>
  </w:num>
  <w:num w:numId="29">
    <w:abstractNumId w:val="13"/>
  </w:num>
  <w:num w:numId="30">
    <w:abstractNumId w:val="24"/>
  </w:num>
  <w:num w:numId="31">
    <w:abstractNumId w:val="26"/>
  </w:num>
  <w:num w:numId="32">
    <w:abstractNumId w:val="35"/>
  </w:num>
  <w:num w:numId="33">
    <w:abstractNumId w:val="6"/>
  </w:num>
  <w:num w:numId="34">
    <w:abstractNumId w:val="15"/>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6D"/>
    <w:rsid w:val="0000419E"/>
    <w:rsid w:val="00006471"/>
    <w:rsid w:val="00013655"/>
    <w:rsid w:val="00014FD8"/>
    <w:rsid w:val="00030656"/>
    <w:rsid w:val="0003289A"/>
    <w:rsid w:val="00037BCB"/>
    <w:rsid w:val="0004152E"/>
    <w:rsid w:val="00053229"/>
    <w:rsid w:val="000623C6"/>
    <w:rsid w:val="00063DE8"/>
    <w:rsid w:val="000649F3"/>
    <w:rsid w:val="00065FA3"/>
    <w:rsid w:val="00072B77"/>
    <w:rsid w:val="000747E9"/>
    <w:rsid w:val="00075650"/>
    <w:rsid w:val="000777E5"/>
    <w:rsid w:val="00085500"/>
    <w:rsid w:val="000A0F2B"/>
    <w:rsid w:val="000A1C56"/>
    <w:rsid w:val="000B01EB"/>
    <w:rsid w:val="000B05C1"/>
    <w:rsid w:val="000C080E"/>
    <w:rsid w:val="000C290E"/>
    <w:rsid w:val="000C7B1E"/>
    <w:rsid w:val="000D3382"/>
    <w:rsid w:val="000D7346"/>
    <w:rsid w:val="000E1912"/>
    <w:rsid w:val="000E2637"/>
    <w:rsid w:val="000E2AAD"/>
    <w:rsid w:val="000E2F67"/>
    <w:rsid w:val="000E316C"/>
    <w:rsid w:val="000E42D3"/>
    <w:rsid w:val="000E4FE4"/>
    <w:rsid w:val="000F2616"/>
    <w:rsid w:val="000F378A"/>
    <w:rsid w:val="00104C3E"/>
    <w:rsid w:val="00107C01"/>
    <w:rsid w:val="00111AB7"/>
    <w:rsid w:val="00114580"/>
    <w:rsid w:val="00116A6A"/>
    <w:rsid w:val="0011735D"/>
    <w:rsid w:val="001179ED"/>
    <w:rsid w:val="0012283A"/>
    <w:rsid w:val="001248EC"/>
    <w:rsid w:val="0013064F"/>
    <w:rsid w:val="00136803"/>
    <w:rsid w:val="0014075B"/>
    <w:rsid w:val="001470FA"/>
    <w:rsid w:val="001510D3"/>
    <w:rsid w:val="0015136D"/>
    <w:rsid w:val="0015166D"/>
    <w:rsid w:val="001557D7"/>
    <w:rsid w:val="00156264"/>
    <w:rsid w:val="001703ED"/>
    <w:rsid w:val="001722E2"/>
    <w:rsid w:val="0018126E"/>
    <w:rsid w:val="00181C48"/>
    <w:rsid w:val="00183987"/>
    <w:rsid w:val="00183BAC"/>
    <w:rsid w:val="00184B78"/>
    <w:rsid w:val="0019030A"/>
    <w:rsid w:val="00192E53"/>
    <w:rsid w:val="001A0D28"/>
    <w:rsid w:val="001A0D2F"/>
    <w:rsid w:val="001A3AF8"/>
    <w:rsid w:val="001A614E"/>
    <w:rsid w:val="001B26A4"/>
    <w:rsid w:val="001C06E0"/>
    <w:rsid w:val="001C7CC1"/>
    <w:rsid w:val="001D6A86"/>
    <w:rsid w:val="001E1AE2"/>
    <w:rsid w:val="001E7B07"/>
    <w:rsid w:val="001E7BFD"/>
    <w:rsid w:val="001F3B7B"/>
    <w:rsid w:val="001F7EBE"/>
    <w:rsid w:val="002004D6"/>
    <w:rsid w:val="0020113B"/>
    <w:rsid w:val="002023B8"/>
    <w:rsid w:val="00211748"/>
    <w:rsid w:val="00216D58"/>
    <w:rsid w:val="002276CA"/>
    <w:rsid w:val="00232412"/>
    <w:rsid w:val="00232CC9"/>
    <w:rsid w:val="00233B0E"/>
    <w:rsid w:val="00235B6C"/>
    <w:rsid w:val="00246989"/>
    <w:rsid w:val="00246F38"/>
    <w:rsid w:val="0025002C"/>
    <w:rsid w:val="00251D29"/>
    <w:rsid w:val="00252631"/>
    <w:rsid w:val="00254A81"/>
    <w:rsid w:val="00255890"/>
    <w:rsid w:val="0026024A"/>
    <w:rsid w:val="00261D90"/>
    <w:rsid w:val="00272463"/>
    <w:rsid w:val="002729BE"/>
    <w:rsid w:val="00282D0B"/>
    <w:rsid w:val="0029218D"/>
    <w:rsid w:val="00297454"/>
    <w:rsid w:val="002B2202"/>
    <w:rsid w:val="002B5084"/>
    <w:rsid w:val="002C0FD0"/>
    <w:rsid w:val="002C1A1D"/>
    <w:rsid w:val="002C2E7C"/>
    <w:rsid w:val="002D035A"/>
    <w:rsid w:val="002D28FB"/>
    <w:rsid w:val="002E10DB"/>
    <w:rsid w:val="002E1942"/>
    <w:rsid w:val="002E2E8C"/>
    <w:rsid w:val="002E5A3C"/>
    <w:rsid w:val="002F48EF"/>
    <w:rsid w:val="003006CF"/>
    <w:rsid w:val="00302CE8"/>
    <w:rsid w:val="00304945"/>
    <w:rsid w:val="003052FD"/>
    <w:rsid w:val="0030701B"/>
    <w:rsid w:val="00312114"/>
    <w:rsid w:val="003150A7"/>
    <w:rsid w:val="003166A3"/>
    <w:rsid w:val="00316949"/>
    <w:rsid w:val="003203BF"/>
    <w:rsid w:val="00320895"/>
    <w:rsid w:val="003211D9"/>
    <w:rsid w:val="00321BFE"/>
    <w:rsid w:val="00321E86"/>
    <w:rsid w:val="003330E2"/>
    <w:rsid w:val="0033313D"/>
    <w:rsid w:val="0034158B"/>
    <w:rsid w:val="003439FA"/>
    <w:rsid w:val="003449C6"/>
    <w:rsid w:val="0035058C"/>
    <w:rsid w:val="003617DA"/>
    <w:rsid w:val="003630AF"/>
    <w:rsid w:val="00364BEE"/>
    <w:rsid w:val="0037294C"/>
    <w:rsid w:val="003730F4"/>
    <w:rsid w:val="0037670C"/>
    <w:rsid w:val="003800EC"/>
    <w:rsid w:val="003863E0"/>
    <w:rsid w:val="00393F77"/>
    <w:rsid w:val="003959AA"/>
    <w:rsid w:val="003A07F1"/>
    <w:rsid w:val="003B54EA"/>
    <w:rsid w:val="003C5238"/>
    <w:rsid w:val="003C6ACE"/>
    <w:rsid w:val="003C7218"/>
    <w:rsid w:val="003D1DFF"/>
    <w:rsid w:val="003D2AD7"/>
    <w:rsid w:val="003D3D77"/>
    <w:rsid w:val="003D7F77"/>
    <w:rsid w:val="003E46DC"/>
    <w:rsid w:val="003F36BA"/>
    <w:rsid w:val="003F5A75"/>
    <w:rsid w:val="004041D9"/>
    <w:rsid w:val="004050AC"/>
    <w:rsid w:val="004055BA"/>
    <w:rsid w:val="00412198"/>
    <w:rsid w:val="004239A7"/>
    <w:rsid w:val="004245E7"/>
    <w:rsid w:val="00427858"/>
    <w:rsid w:val="0043225C"/>
    <w:rsid w:val="0043643F"/>
    <w:rsid w:val="00440544"/>
    <w:rsid w:val="004437FE"/>
    <w:rsid w:val="0045186B"/>
    <w:rsid w:val="00455106"/>
    <w:rsid w:val="00457940"/>
    <w:rsid w:val="00467518"/>
    <w:rsid w:val="004759A3"/>
    <w:rsid w:val="00476412"/>
    <w:rsid w:val="00483C39"/>
    <w:rsid w:val="00487537"/>
    <w:rsid w:val="004878BE"/>
    <w:rsid w:val="004878F1"/>
    <w:rsid w:val="00494FCD"/>
    <w:rsid w:val="004A2703"/>
    <w:rsid w:val="004A59C4"/>
    <w:rsid w:val="004A6982"/>
    <w:rsid w:val="004B3A48"/>
    <w:rsid w:val="004B66EB"/>
    <w:rsid w:val="004C154B"/>
    <w:rsid w:val="004D1ABA"/>
    <w:rsid w:val="004D1F04"/>
    <w:rsid w:val="004D6C28"/>
    <w:rsid w:val="004E01AE"/>
    <w:rsid w:val="004E6A5A"/>
    <w:rsid w:val="004F1385"/>
    <w:rsid w:val="004F5E26"/>
    <w:rsid w:val="004F695B"/>
    <w:rsid w:val="00504703"/>
    <w:rsid w:val="00511B53"/>
    <w:rsid w:val="005127FF"/>
    <w:rsid w:val="0051316D"/>
    <w:rsid w:val="00517D3E"/>
    <w:rsid w:val="0052032A"/>
    <w:rsid w:val="00524980"/>
    <w:rsid w:val="00524C12"/>
    <w:rsid w:val="0052663B"/>
    <w:rsid w:val="00536737"/>
    <w:rsid w:val="0054216F"/>
    <w:rsid w:val="00546934"/>
    <w:rsid w:val="005501D2"/>
    <w:rsid w:val="0055046C"/>
    <w:rsid w:val="00550816"/>
    <w:rsid w:val="005573E6"/>
    <w:rsid w:val="005640BD"/>
    <w:rsid w:val="00566341"/>
    <w:rsid w:val="00574919"/>
    <w:rsid w:val="0057507A"/>
    <w:rsid w:val="005809E5"/>
    <w:rsid w:val="00580C88"/>
    <w:rsid w:val="00582E06"/>
    <w:rsid w:val="00593B4F"/>
    <w:rsid w:val="00595A56"/>
    <w:rsid w:val="005A2110"/>
    <w:rsid w:val="005B2FE0"/>
    <w:rsid w:val="005B4611"/>
    <w:rsid w:val="005B598B"/>
    <w:rsid w:val="005C3351"/>
    <w:rsid w:val="005C5AA4"/>
    <w:rsid w:val="005D6575"/>
    <w:rsid w:val="005E0BC9"/>
    <w:rsid w:val="005E7FF0"/>
    <w:rsid w:val="005F327D"/>
    <w:rsid w:val="005F5AC7"/>
    <w:rsid w:val="00606EAF"/>
    <w:rsid w:val="00607FA9"/>
    <w:rsid w:val="0061225D"/>
    <w:rsid w:val="006244DF"/>
    <w:rsid w:val="00626A32"/>
    <w:rsid w:val="006310E2"/>
    <w:rsid w:val="00632D16"/>
    <w:rsid w:val="00636498"/>
    <w:rsid w:val="006377C4"/>
    <w:rsid w:val="00637D64"/>
    <w:rsid w:val="00641A5F"/>
    <w:rsid w:val="006461A2"/>
    <w:rsid w:val="006541AC"/>
    <w:rsid w:val="006579C1"/>
    <w:rsid w:val="006762B6"/>
    <w:rsid w:val="00682801"/>
    <w:rsid w:val="00682FCB"/>
    <w:rsid w:val="006833B8"/>
    <w:rsid w:val="00690925"/>
    <w:rsid w:val="00691B45"/>
    <w:rsid w:val="00694431"/>
    <w:rsid w:val="006A0DA5"/>
    <w:rsid w:val="006A6A9E"/>
    <w:rsid w:val="006A6E8B"/>
    <w:rsid w:val="006B0A73"/>
    <w:rsid w:val="006B46E5"/>
    <w:rsid w:val="006B6FB8"/>
    <w:rsid w:val="006B7A95"/>
    <w:rsid w:val="006C2BAD"/>
    <w:rsid w:val="006E23A1"/>
    <w:rsid w:val="006E349D"/>
    <w:rsid w:val="006F141F"/>
    <w:rsid w:val="006F5F79"/>
    <w:rsid w:val="006F6ADD"/>
    <w:rsid w:val="006F733D"/>
    <w:rsid w:val="006F7DF6"/>
    <w:rsid w:val="00703D00"/>
    <w:rsid w:val="007041F7"/>
    <w:rsid w:val="0070757A"/>
    <w:rsid w:val="00707E27"/>
    <w:rsid w:val="00715820"/>
    <w:rsid w:val="00716D30"/>
    <w:rsid w:val="00717618"/>
    <w:rsid w:val="00717D7D"/>
    <w:rsid w:val="007233B1"/>
    <w:rsid w:val="0072484C"/>
    <w:rsid w:val="0074290B"/>
    <w:rsid w:val="0074291D"/>
    <w:rsid w:val="00743B4E"/>
    <w:rsid w:val="00752FD3"/>
    <w:rsid w:val="0076610C"/>
    <w:rsid w:val="00772405"/>
    <w:rsid w:val="007724E2"/>
    <w:rsid w:val="0077742F"/>
    <w:rsid w:val="00782C17"/>
    <w:rsid w:val="00784252"/>
    <w:rsid w:val="0078667F"/>
    <w:rsid w:val="007904C0"/>
    <w:rsid w:val="00791F93"/>
    <w:rsid w:val="00792A2F"/>
    <w:rsid w:val="0079359C"/>
    <w:rsid w:val="0079452B"/>
    <w:rsid w:val="0079533F"/>
    <w:rsid w:val="007A1166"/>
    <w:rsid w:val="007A347B"/>
    <w:rsid w:val="007A3904"/>
    <w:rsid w:val="007B1862"/>
    <w:rsid w:val="007B6BB5"/>
    <w:rsid w:val="007B731A"/>
    <w:rsid w:val="007B75A2"/>
    <w:rsid w:val="007C191A"/>
    <w:rsid w:val="007C2AC3"/>
    <w:rsid w:val="007C3C25"/>
    <w:rsid w:val="007D085A"/>
    <w:rsid w:val="007D0B32"/>
    <w:rsid w:val="007D11C8"/>
    <w:rsid w:val="007D3536"/>
    <w:rsid w:val="007D7D5E"/>
    <w:rsid w:val="007E451E"/>
    <w:rsid w:val="007E6FC1"/>
    <w:rsid w:val="007F5DED"/>
    <w:rsid w:val="00810BA0"/>
    <w:rsid w:val="00815EF2"/>
    <w:rsid w:val="00827C02"/>
    <w:rsid w:val="00831515"/>
    <w:rsid w:val="0083273E"/>
    <w:rsid w:val="00836FBB"/>
    <w:rsid w:val="008403A0"/>
    <w:rsid w:val="00844A10"/>
    <w:rsid w:val="00845EAC"/>
    <w:rsid w:val="00850F45"/>
    <w:rsid w:val="0085756C"/>
    <w:rsid w:val="00860461"/>
    <w:rsid w:val="00865A1D"/>
    <w:rsid w:val="0086608A"/>
    <w:rsid w:val="00866B8B"/>
    <w:rsid w:val="00867917"/>
    <w:rsid w:val="00874D87"/>
    <w:rsid w:val="008776A5"/>
    <w:rsid w:val="00885793"/>
    <w:rsid w:val="00891E24"/>
    <w:rsid w:val="008942A3"/>
    <w:rsid w:val="00896110"/>
    <w:rsid w:val="008A22BE"/>
    <w:rsid w:val="008A2577"/>
    <w:rsid w:val="008A596D"/>
    <w:rsid w:val="008A71FF"/>
    <w:rsid w:val="008C0349"/>
    <w:rsid w:val="008D387E"/>
    <w:rsid w:val="008D438D"/>
    <w:rsid w:val="008D4397"/>
    <w:rsid w:val="008D554E"/>
    <w:rsid w:val="008E175F"/>
    <w:rsid w:val="008E3881"/>
    <w:rsid w:val="008F02F5"/>
    <w:rsid w:val="008F2446"/>
    <w:rsid w:val="008F7233"/>
    <w:rsid w:val="00900F07"/>
    <w:rsid w:val="00904763"/>
    <w:rsid w:val="00904F76"/>
    <w:rsid w:val="00913D4D"/>
    <w:rsid w:val="00914E6E"/>
    <w:rsid w:val="009156D4"/>
    <w:rsid w:val="009239E5"/>
    <w:rsid w:val="00933629"/>
    <w:rsid w:val="009451B6"/>
    <w:rsid w:val="009458C4"/>
    <w:rsid w:val="00953839"/>
    <w:rsid w:val="00956E4B"/>
    <w:rsid w:val="00960E4A"/>
    <w:rsid w:val="0096327E"/>
    <w:rsid w:val="00964254"/>
    <w:rsid w:val="00964F2A"/>
    <w:rsid w:val="0096525F"/>
    <w:rsid w:val="009658A3"/>
    <w:rsid w:val="00971C29"/>
    <w:rsid w:val="00986F3E"/>
    <w:rsid w:val="0099272E"/>
    <w:rsid w:val="00994310"/>
    <w:rsid w:val="00997BA9"/>
    <w:rsid w:val="009A1339"/>
    <w:rsid w:val="009A32E4"/>
    <w:rsid w:val="009A7D3B"/>
    <w:rsid w:val="009B0CD1"/>
    <w:rsid w:val="009B4B95"/>
    <w:rsid w:val="009C3686"/>
    <w:rsid w:val="009C4028"/>
    <w:rsid w:val="009C727F"/>
    <w:rsid w:val="009E139A"/>
    <w:rsid w:val="009E51FD"/>
    <w:rsid w:val="009E5250"/>
    <w:rsid w:val="009E5953"/>
    <w:rsid w:val="009E7036"/>
    <w:rsid w:val="00A03BCC"/>
    <w:rsid w:val="00A0760A"/>
    <w:rsid w:val="00A21681"/>
    <w:rsid w:val="00A25913"/>
    <w:rsid w:val="00A267E4"/>
    <w:rsid w:val="00A32E1E"/>
    <w:rsid w:val="00A36B91"/>
    <w:rsid w:val="00A41CDF"/>
    <w:rsid w:val="00A43F76"/>
    <w:rsid w:val="00A470CE"/>
    <w:rsid w:val="00A47462"/>
    <w:rsid w:val="00A5372A"/>
    <w:rsid w:val="00A5489F"/>
    <w:rsid w:val="00A6457A"/>
    <w:rsid w:val="00A75A45"/>
    <w:rsid w:val="00A80240"/>
    <w:rsid w:val="00A825FB"/>
    <w:rsid w:val="00A84FAA"/>
    <w:rsid w:val="00A915D1"/>
    <w:rsid w:val="00A91C72"/>
    <w:rsid w:val="00AA3C95"/>
    <w:rsid w:val="00AB0C9D"/>
    <w:rsid w:val="00AC1D2D"/>
    <w:rsid w:val="00AD0357"/>
    <w:rsid w:val="00AD2083"/>
    <w:rsid w:val="00AD40AE"/>
    <w:rsid w:val="00AD4A31"/>
    <w:rsid w:val="00AD68F2"/>
    <w:rsid w:val="00AE14AC"/>
    <w:rsid w:val="00AE5963"/>
    <w:rsid w:val="00AF2E43"/>
    <w:rsid w:val="00AF3B20"/>
    <w:rsid w:val="00AF40FD"/>
    <w:rsid w:val="00AF5459"/>
    <w:rsid w:val="00AF5AFE"/>
    <w:rsid w:val="00AF6547"/>
    <w:rsid w:val="00AF6BD6"/>
    <w:rsid w:val="00B00E2C"/>
    <w:rsid w:val="00B03988"/>
    <w:rsid w:val="00B1142C"/>
    <w:rsid w:val="00B21128"/>
    <w:rsid w:val="00B30118"/>
    <w:rsid w:val="00B355AB"/>
    <w:rsid w:val="00B36E45"/>
    <w:rsid w:val="00B43FD9"/>
    <w:rsid w:val="00B53C00"/>
    <w:rsid w:val="00B544D2"/>
    <w:rsid w:val="00B54B5C"/>
    <w:rsid w:val="00B62243"/>
    <w:rsid w:val="00B80775"/>
    <w:rsid w:val="00B80F6F"/>
    <w:rsid w:val="00B823E7"/>
    <w:rsid w:val="00B84B81"/>
    <w:rsid w:val="00B84D65"/>
    <w:rsid w:val="00B86E1B"/>
    <w:rsid w:val="00B871DD"/>
    <w:rsid w:val="00B920FC"/>
    <w:rsid w:val="00B92B8D"/>
    <w:rsid w:val="00B95036"/>
    <w:rsid w:val="00B95358"/>
    <w:rsid w:val="00BA1B6D"/>
    <w:rsid w:val="00BA26D9"/>
    <w:rsid w:val="00BA33BB"/>
    <w:rsid w:val="00BA51CA"/>
    <w:rsid w:val="00BA6790"/>
    <w:rsid w:val="00BA6A37"/>
    <w:rsid w:val="00BB09C8"/>
    <w:rsid w:val="00BB1157"/>
    <w:rsid w:val="00BB4216"/>
    <w:rsid w:val="00BB4ADF"/>
    <w:rsid w:val="00BB7459"/>
    <w:rsid w:val="00BB7708"/>
    <w:rsid w:val="00BD036A"/>
    <w:rsid w:val="00BD4C75"/>
    <w:rsid w:val="00BE4529"/>
    <w:rsid w:val="00BF21B4"/>
    <w:rsid w:val="00C059F3"/>
    <w:rsid w:val="00C07C3E"/>
    <w:rsid w:val="00C16003"/>
    <w:rsid w:val="00C27C3F"/>
    <w:rsid w:val="00C37766"/>
    <w:rsid w:val="00C41C93"/>
    <w:rsid w:val="00C45189"/>
    <w:rsid w:val="00C479A5"/>
    <w:rsid w:val="00C50F0F"/>
    <w:rsid w:val="00C559AD"/>
    <w:rsid w:val="00C56B11"/>
    <w:rsid w:val="00C607EE"/>
    <w:rsid w:val="00C631C4"/>
    <w:rsid w:val="00C65A42"/>
    <w:rsid w:val="00C72C76"/>
    <w:rsid w:val="00C85BBF"/>
    <w:rsid w:val="00C94A9A"/>
    <w:rsid w:val="00C96D3E"/>
    <w:rsid w:val="00C97811"/>
    <w:rsid w:val="00CA055A"/>
    <w:rsid w:val="00CA5759"/>
    <w:rsid w:val="00CB0E48"/>
    <w:rsid w:val="00CB6E87"/>
    <w:rsid w:val="00CB73C5"/>
    <w:rsid w:val="00CC0C65"/>
    <w:rsid w:val="00CC1412"/>
    <w:rsid w:val="00CD09C0"/>
    <w:rsid w:val="00CD169C"/>
    <w:rsid w:val="00CD2695"/>
    <w:rsid w:val="00CD4DD9"/>
    <w:rsid w:val="00CD686E"/>
    <w:rsid w:val="00CE2C00"/>
    <w:rsid w:val="00CE2C8F"/>
    <w:rsid w:val="00CE4212"/>
    <w:rsid w:val="00CE5BDB"/>
    <w:rsid w:val="00D033C3"/>
    <w:rsid w:val="00D04BB8"/>
    <w:rsid w:val="00D0740B"/>
    <w:rsid w:val="00D102F6"/>
    <w:rsid w:val="00D1083C"/>
    <w:rsid w:val="00D119FF"/>
    <w:rsid w:val="00D16965"/>
    <w:rsid w:val="00D1711D"/>
    <w:rsid w:val="00D22A8C"/>
    <w:rsid w:val="00D241E3"/>
    <w:rsid w:val="00D2731A"/>
    <w:rsid w:val="00D30CC0"/>
    <w:rsid w:val="00D33738"/>
    <w:rsid w:val="00D433A0"/>
    <w:rsid w:val="00D44C86"/>
    <w:rsid w:val="00D524B8"/>
    <w:rsid w:val="00D55143"/>
    <w:rsid w:val="00D57CE7"/>
    <w:rsid w:val="00D65401"/>
    <w:rsid w:val="00D67DA3"/>
    <w:rsid w:val="00D768EC"/>
    <w:rsid w:val="00D81A85"/>
    <w:rsid w:val="00DA114F"/>
    <w:rsid w:val="00DA15BD"/>
    <w:rsid w:val="00DA4C57"/>
    <w:rsid w:val="00DA7166"/>
    <w:rsid w:val="00DA7E23"/>
    <w:rsid w:val="00DB21ED"/>
    <w:rsid w:val="00DB27BF"/>
    <w:rsid w:val="00DB4CD5"/>
    <w:rsid w:val="00DB5375"/>
    <w:rsid w:val="00DB6CBE"/>
    <w:rsid w:val="00DC2575"/>
    <w:rsid w:val="00DC2D83"/>
    <w:rsid w:val="00DD1BFA"/>
    <w:rsid w:val="00DD264D"/>
    <w:rsid w:val="00DD26E5"/>
    <w:rsid w:val="00DE6339"/>
    <w:rsid w:val="00DE7112"/>
    <w:rsid w:val="00DF682A"/>
    <w:rsid w:val="00E004DC"/>
    <w:rsid w:val="00E06F41"/>
    <w:rsid w:val="00E1311F"/>
    <w:rsid w:val="00E166B9"/>
    <w:rsid w:val="00E22A91"/>
    <w:rsid w:val="00E23737"/>
    <w:rsid w:val="00E238DB"/>
    <w:rsid w:val="00E2632E"/>
    <w:rsid w:val="00E27DBA"/>
    <w:rsid w:val="00E3529F"/>
    <w:rsid w:val="00E41991"/>
    <w:rsid w:val="00E473AB"/>
    <w:rsid w:val="00E51AB8"/>
    <w:rsid w:val="00E54038"/>
    <w:rsid w:val="00E55599"/>
    <w:rsid w:val="00E606D8"/>
    <w:rsid w:val="00E61F9D"/>
    <w:rsid w:val="00E75F22"/>
    <w:rsid w:val="00E77E8E"/>
    <w:rsid w:val="00E80DE1"/>
    <w:rsid w:val="00E80FBF"/>
    <w:rsid w:val="00E8168C"/>
    <w:rsid w:val="00E8427D"/>
    <w:rsid w:val="00E84F7D"/>
    <w:rsid w:val="00E86C44"/>
    <w:rsid w:val="00E9203D"/>
    <w:rsid w:val="00E9220C"/>
    <w:rsid w:val="00E933C8"/>
    <w:rsid w:val="00E93E3B"/>
    <w:rsid w:val="00E95D29"/>
    <w:rsid w:val="00EA02D1"/>
    <w:rsid w:val="00EA4AD4"/>
    <w:rsid w:val="00EB6330"/>
    <w:rsid w:val="00EC51D2"/>
    <w:rsid w:val="00ED0444"/>
    <w:rsid w:val="00ED2EC4"/>
    <w:rsid w:val="00EE418B"/>
    <w:rsid w:val="00F02495"/>
    <w:rsid w:val="00F03290"/>
    <w:rsid w:val="00F07281"/>
    <w:rsid w:val="00F129C9"/>
    <w:rsid w:val="00F15257"/>
    <w:rsid w:val="00F2019B"/>
    <w:rsid w:val="00F23744"/>
    <w:rsid w:val="00F3285C"/>
    <w:rsid w:val="00F338C3"/>
    <w:rsid w:val="00F3391A"/>
    <w:rsid w:val="00F458C0"/>
    <w:rsid w:val="00F53BC0"/>
    <w:rsid w:val="00F55237"/>
    <w:rsid w:val="00F55B1E"/>
    <w:rsid w:val="00F626C5"/>
    <w:rsid w:val="00F67EE1"/>
    <w:rsid w:val="00F72BB3"/>
    <w:rsid w:val="00F84160"/>
    <w:rsid w:val="00F84E87"/>
    <w:rsid w:val="00F921F0"/>
    <w:rsid w:val="00FA0F0E"/>
    <w:rsid w:val="00FA2F28"/>
    <w:rsid w:val="00FA59A9"/>
    <w:rsid w:val="00FA78B3"/>
    <w:rsid w:val="00FB106A"/>
    <w:rsid w:val="00FB2FD1"/>
    <w:rsid w:val="00FC15C4"/>
    <w:rsid w:val="00FC3A6F"/>
    <w:rsid w:val="00FC7165"/>
    <w:rsid w:val="00FE25E9"/>
    <w:rsid w:val="00FE570F"/>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949"/>
    <w:rPr>
      <w:sz w:val="24"/>
      <w:szCs w:val="24"/>
    </w:rPr>
  </w:style>
  <w:style w:type="paragraph" w:styleId="Heading1">
    <w:name w:val="heading 1"/>
    <w:basedOn w:val="Normal"/>
    <w:next w:val="Normal"/>
    <w:link w:val="Heading1Char"/>
    <w:qFormat/>
    <w:rsid w:val="004E01AE"/>
    <w:pPr>
      <w:keepNext/>
      <w:spacing w:line="360" w:lineRule="auto"/>
      <w:outlineLvl w:val="0"/>
    </w:pPr>
    <w:rPr>
      <w:rFonts w:ascii="Arial" w:hAnsi="Arial" w:cs="Arial"/>
      <w:u w:val="single"/>
    </w:rPr>
  </w:style>
  <w:style w:type="paragraph" w:styleId="Heading2">
    <w:name w:val="heading 2"/>
    <w:basedOn w:val="Normal"/>
    <w:next w:val="Normal"/>
    <w:link w:val="Heading2Char"/>
    <w:semiHidden/>
    <w:unhideWhenUsed/>
    <w:qFormat/>
    <w:rsid w:val="005F3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4E01AE"/>
    <w:pPr>
      <w:keepNext/>
      <w:spacing w:line="360" w:lineRule="auto"/>
      <w:jc w:val="center"/>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1AE"/>
    <w:rPr>
      <w:rFonts w:ascii="Arial" w:hAnsi="Arial" w:cs="Arial"/>
      <w:sz w:val="24"/>
      <w:szCs w:val="24"/>
      <w:u w:val="single"/>
    </w:rPr>
  </w:style>
  <w:style w:type="character" w:customStyle="1" w:styleId="Heading5Char">
    <w:name w:val="Heading 5 Char"/>
    <w:basedOn w:val="DefaultParagraphFont"/>
    <w:link w:val="Heading5"/>
    <w:semiHidden/>
    <w:rsid w:val="004E01AE"/>
    <w:rPr>
      <w:rFonts w:ascii="Arial" w:hAnsi="Arial"/>
      <w:sz w:val="24"/>
    </w:rPr>
  </w:style>
  <w:style w:type="paragraph" w:styleId="BodyText">
    <w:name w:val="Body Text"/>
    <w:basedOn w:val="Normal"/>
    <w:link w:val="BodyTextChar"/>
    <w:unhideWhenUsed/>
    <w:rsid w:val="004E01AE"/>
    <w:pPr>
      <w:spacing w:line="360" w:lineRule="auto"/>
      <w:jc w:val="both"/>
    </w:pPr>
    <w:rPr>
      <w:rFonts w:ascii="Arial" w:hAnsi="Arial"/>
    </w:rPr>
  </w:style>
  <w:style w:type="character" w:customStyle="1" w:styleId="BodyTextChar">
    <w:name w:val="Body Text Char"/>
    <w:basedOn w:val="DefaultParagraphFont"/>
    <w:link w:val="BodyText"/>
    <w:rsid w:val="004E01AE"/>
    <w:rPr>
      <w:rFonts w:ascii="Arial" w:hAnsi="Arial"/>
      <w:sz w:val="24"/>
      <w:szCs w:val="24"/>
    </w:rPr>
  </w:style>
  <w:style w:type="paragraph" w:styleId="ListParagraph">
    <w:name w:val="List Paragraph"/>
    <w:basedOn w:val="Normal"/>
    <w:uiPriority w:val="34"/>
    <w:qFormat/>
    <w:rsid w:val="004E01AE"/>
    <w:pPr>
      <w:ind w:left="720"/>
      <w:contextualSpacing/>
    </w:pPr>
  </w:style>
  <w:style w:type="table" w:styleId="TableGrid">
    <w:name w:val="Table Grid"/>
    <w:basedOn w:val="TableNormal"/>
    <w:rsid w:val="004E01A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E01AE"/>
    <w:pPr>
      <w:tabs>
        <w:tab w:val="center" w:pos="4680"/>
        <w:tab w:val="right" w:pos="9360"/>
      </w:tabs>
    </w:pPr>
  </w:style>
  <w:style w:type="character" w:customStyle="1" w:styleId="HeaderChar">
    <w:name w:val="Header Char"/>
    <w:basedOn w:val="DefaultParagraphFont"/>
    <w:link w:val="Header"/>
    <w:uiPriority w:val="99"/>
    <w:rsid w:val="004E01AE"/>
    <w:rPr>
      <w:sz w:val="24"/>
      <w:szCs w:val="24"/>
    </w:rPr>
  </w:style>
  <w:style w:type="paragraph" w:styleId="Footer">
    <w:name w:val="footer"/>
    <w:basedOn w:val="Normal"/>
    <w:link w:val="FooterChar"/>
    <w:uiPriority w:val="99"/>
    <w:rsid w:val="004E01AE"/>
    <w:pPr>
      <w:tabs>
        <w:tab w:val="center" w:pos="4680"/>
        <w:tab w:val="right" w:pos="9360"/>
      </w:tabs>
    </w:pPr>
  </w:style>
  <w:style w:type="character" w:customStyle="1" w:styleId="FooterChar">
    <w:name w:val="Footer Char"/>
    <w:basedOn w:val="DefaultParagraphFont"/>
    <w:link w:val="Footer"/>
    <w:uiPriority w:val="99"/>
    <w:rsid w:val="004E01AE"/>
    <w:rPr>
      <w:sz w:val="24"/>
      <w:szCs w:val="24"/>
    </w:rPr>
  </w:style>
  <w:style w:type="paragraph" w:styleId="BalloonText">
    <w:name w:val="Balloon Text"/>
    <w:basedOn w:val="Normal"/>
    <w:link w:val="BalloonTextChar"/>
    <w:rsid w:val="00716D30"/>
    <w:rPr>
      <w:rFonts w:ascii="Tahoma" w:hAnsi="Tahoma" w:cs="Tahoma"/>
      <w:sz w:val="16"/>
      <w:szCs w:val="16"/>
    </w:rPr>
  </w:style>
  <w:style w:type="character" w:customStyle="1" w:styleId="BalloonTextChar">
    <w:name w:val="Balloon Text Char"/>
    <w:basedOn w:val="DefaultParagraphFont"/>
    <w:link w:val="BalloonText"/>
    <w:rsid w:val="00716D30"/>
    <w:rPr>
      <w:rFonts w:ascii="Tahoma" w:hAnsi="Tahoma" w:cs="Tahoma"/>
      <w:sz w:val="16"/>
      <w:szCs w:val="16"/>
    </w:rPr>
  </w:style>
  <w:style w:type="paragraph" w:styleId="TOCHeading">
    <w:name w:val="TOC Heading"/>
    <w:basedOn w:val="Heading1"/>
    <w:next w:val="Normal"/>
    <w:uiPriority w:val="39"/>
    <w:semiHidden/>
    <w:unhideWhenUsed/>
    <w:qFormat/>
    <w:rsid w:val="00900F07"/>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ja-JP"/>
    </w:rPr>
  </w:style>
  <w:style w:type="paragraph" w:styleId="TOC1">
    <w:name w:val="toc 1"/>
    <w:basedOn w:val="Normal"/>
    <w:next w:val="Normal"/>
    <w:autoRedefine/>
    <w:uiPriority w:val="39"/>
    <w:rsid w:val="00900F07"/>
    <w:pPr>
      <w:spacing w:after="100"/>
    </w:pPr>
  </w:style>
  <w:style w:type="character" w:styleId="Hyperlink">
    <w:name w:val="Hyperlink"/>
    <w:basedOn w:val="DefaultParagraphFont"/>
    <w:uiPriority w:val="99"/>
    <w:unhideWhenUsed/>
    <w:rsid w:val="00900F07"/>
    <w:rPr>
      <w:color w:val="0000FF" w:themeColor="hyperlink"/>
      <w:u w:val="single"/>
    </w:rPr>
  </w:style>
  <w:style w:type="character" w:customStyle="1" w:styleId="Heading2Char">
    <w:name w:val="Heading 2 Char"/>
    <w:basedOn w:val="DefaultParagraphFont"/>
    <w:link w:val="Heading2"/>
    <w:semiHidden/>
    <w:rsid w:val="005F3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F327D"/>
    <w:pPr>
      <w:spacing w:after="100"/>
      <w:ind w:left="240"/>
    </w:pPr>
  </w:style>
  <w:style w:type="paragraph" w:styleId="TOC3">
    <w:name w:val="toc 3"/>
    <w:basedOn w:val="Normal"/>
    <w:next w:val="Normal"/>
    <w:autoRedefine/>
    <w:uiPriority w:val="39"/>
    <w:rsid w:val="001A0D28"/>
    <w:pPr>
      <w:tabs>
        <w:tab w:val="left" w:pos="880"/>
        <w:tab w:val="right" w:leader="dot" w:pos="8630"/>
      </w:tabs>
      <w:spacing w:after="100" w:line="360" w:lineRule="auto"/>
      <w:ind w:left="480"/>
      <w:jc w:val="both"/>
    </w:pPr>
  </w:style>
  <w:style w:type="character" w:styleId="CommentReference">
    <w:name w:val="annotation reference"/>
    <w:basedOn w:val="DefaultParagraphFont"/>
    <w:rsid w:val="00272463"/>
    <w:rPr>
      <w:sz w:val="16"/>
      <w:szCs w:val="16"/>
    </w:rPr>
  </w:style>
  <w:style w:type="paragraph" w:styleId="CommentText">
    <w:name w:val="annotation text"/>
    <w:basedOn w:val="Normal"/>
    <w:link w:val="CommentTextChar"/>
    <w:rsid w:val="00272463"/>
    <w:rPr>
      <w:sz w:val="20"/>
      <w:szCs w:val="20"/>
    </w:rPr>
  </w:style>
  <w:style w:type="character" w:customStyle="1" w:styleId="CommentTextChar">
    <w:name w:val="Comment Text Char"/>
    <w:basedOn w:val="DefaultParagraphFont"/>
    <w:link w:val="CommentText"/>
    <w:rsid w:val="00272463"/>
  </w:style>
  <w:style w:type="paragraph" w:styleId="CommentSubject">
    <w:name w:val="annotation subject"/>
    <w:basedOn w:val="CommentText"/>
    <w:next w:val="CommentText"/>
    <w:link w:val="CommentSubjectChar"/>
    <w:rsid w:val="00272463"/>
    <w:rPr>
      <w:b/>
      <w:bCs/>
    </w:rPr>
  </w:style>
  <w:style w:type="character" w:customStyle="1" w:styleId="CommentSubjectChar">
    <w:name w:val="Comment Subject Char"/>
    <w:basedOn w:val="CommentTextChar"/>
    <w:link w:val="CommentSubject"/>
    <w:rsid w:val="00272463"/>
    <w:rPr>
      <w:b/>
      <w:bCs/>
    </w:rPr>
  </w:style>
  <w:style w:type="paragraph" w:styleId="Revision">
    <w:name w:val="Revision"/>
    <w:hidden/>
    <w:uiPriority w:val="99"/>
    <w:semiHidden/>
    <w:rsid w:val="009239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949"/>
    <w:rPr>
      <w:sz w:val="24"/>
      <w:szCs w:val="24"/>
    </w:rPr>
  </w:style>
  <w:style w:type="paragraph" w:styleId="Heading1">
    <w:name w:val="heading 1"/>
    <w:basedOn w:val="Normal"/>
    <w:next w:val="Normal"/>
    <w:link w:val="Heading1Char"/>
    <w:qFormat/>
    <w:rsid w:val="004E01AE"/>
    <w:pPr>
      <w:keepNext/>
      <w:spacing w:line="360" w:lineRule="auto"/>
      <w:outlineLvl w:val="0"/>
    </w:pPr>
    <w:rPr>
      <w:rFonts w:ascii="Arial" w:hAnsi="Arial" w:cs="Arial"/>
      <w:u w:val="single"/>
    </w:rPr>
  </w:style>
  <w:style w:type="paragraph" w:styleId="Heading2">
    <w:name w:val="heading 2"/>
    <w:basedOn w:val="Normal"/>
    <w:next w:val="Normal"/>
    <w:link w:val="Heading2Char"/>
    <w:semiHidden/>
    <w:unhideWhenUsed/>
    <w:qFormat/>
    <w:rsid w:val="005F3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4E01AE"/>
    <w:pPr>
      <w:keepNext/>
      <w:spacing w:line="360" w:lineRule="auto"/>
      <w:jc w:val="center"/>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1AE"/>
    <w:rPr>
      <w:rFonts w:ascii="Arial" w:hAnsi="Arial" w:cs="Arial"/>
      <w:sz w:val="24"/>
      <w:szCs w:val="24"/>
      <w:u w:val="single"/>
    </w:rPr>
  </w:style>
  <w:style w:type="character" w:customStyle="1" w:styleId="Heading5Char">
    <w:name w:val="Heading 5 Char"/>
    <w:basedOn w:val="DefaultParagraphFont"/>
    <w:link w:val="Heading5"/>
    <w:semiHidden/>
    <w:rsid w:val="004E01AE"/>
    <w:rPr>
      <w:rFonts w:ascii="Arial" w:hAnsi="Arial"/>
      <w:sz w:val="24"/>
    </w:rPr>
  </w:style>
  <w:style w:type="paragraph" w:styleId="BodyText">
    <w:name w:val="Body Text"/>
    <w:basedOn w:val="Normal"/>
    <w:link w:val="BodyTextChar"/>
    <w:unhideWhenUsed/>
    <w:rsid w:val="004E01AE"/>
    <w:pPr>
      <w:spacing w:line="360" w:lineRule="auto"/>
      <w:jc w:val="both"/>
    </w:pPr>
    <w:rPr>
      <w:rFonts w:ascii="Arial" w:hAnsi="Arial"/>
    </w:rPr>
  </w:style>
  <w:style w:type="character" w:customStyle="1" w:styleId="BodyTextChar">
    <w:name w:val="Body Text Char"/>
    <w:basedOn w:val="DefaultParagraphFont"/>
    <w:link w:val="BodyText"/>
    <w:rsid w:val="004E01AE"/>
    <w:rPr>
      <w:rFonts w:ascii="Arial" w:hAnsi="Arial"/>
      <w:sz w:val="24"/>
      <w:szCs w:val="24"/>
    </w:rPr>
  </w:style>
  <w:style w:type="paragraph" w:styleId="ListParagraph">
    <w:name w:val="List Paragraph"/>
    <w:basedOn w:val="Normal"/>
    <w:uiPriority w:val="34"/>
    <w:qFormat/>
    <w:rsid w:val="004E01AE"/>
    <w:pPr>
      <w:ind w:left="720"/>
      <w:contextualSpacing/>
    </w:pPr>
  </w:style>
  <w:style w:type="table" w:styleId="TableGrid">
    <w:name w:val="Table Grid"/>
    <w:basedOn w:val="TableNormal"/>
    <w:rsid w:val="004E01A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E01AE"/>
    <w:pPr>
      <w:tabs>
        <w:tab w:val="center" w:pos="4680"/>
        <w:tab w:val="right" w:pos="9360"/>
      </w:tabs>
    </w:pPr>
  </w:style>
  <w:style w:type="character" w:customStyle="1" w:styleId="HeaderChar">
    <w:name w:val="Header Char"/>
    <w:basedOn w:val="DefaultParagraphFont"/>
    <w:link w:val="Header"/>
    <w:uiPriority w:val="99"/>
    <w:rsid w:val="004E01AE"/>
    <w:rPr>
      <w:sz w:val="24"/>
      <w:szCs w:val="24"/>
    </w:rPr>
  </w:style>
  <w:style w:type="paragraph" w:styleId="Footer">
    <w:name w:val="footer"/>
    <w:basedOn w:val="Normal"/>
    <w:link w:val="FooterChar"/>
    <w:uiPriority w:val="99"/>
    <w:rsid w:val="004E01AE"/>
    <w:pPr>
      <w:tabs>
        <w:tab w:val="center" w:pos="4680"/>
        <w:tab w:val="right" w:pos="9360"/>
      </w:tabs>
    </w:pPr>
  </w:style>
  <w:style w:type="character" w:customStyle="1" w:styleId="FooterChar">
    <w:name w:val="Footer Char"/>
    <w:basedOn w:val="DefaultParagraphFont"/>
    <w:link w:val="Footer"/>
    <w:uiPriority w:val="99"/>
    <w:rsid w:val="004E01AE"/>
    <w:rPr>
      <w:sz w:val="24"/>
      <w:szCs w:val="24"/>
    </w:rPr>
  </w:style>
  <w:style w:type="paragraph" w:styleId="BalloonText">
    <w:name w:val="Balloon Text"/>
    <w:basedOn w:val="Normal"/>
    <w:link w:val="BalloonTextChar"/>
    <w:rsid w:val="00716D30"/>
    <w:rPr>
      <w:rFonts w:ascii="Tahoma" w:hAnsi="Tahoma" w:cs="Tahoma"/>
      <w:sz w:val="16"/>
      <w:szCs w:val="16"/>
    </w:rPr>
  </w:style>
  <w:style w:type="character" w:customStyle="1" w:styleId="BalloonTextChar">
    <w:name w:val="Balloon Text Char"/>
    <w:basedOn w:val="DefaultParagraphFont"/>
    <w:link w:val="BalloonText"/>
    <w:rsid w:val="00716D30"/>
    <w:rPr>
      <w:rFonts w:ascii="Tahoma" w:hAnsi="Tahoma" w:cs="Tahoma"/>
      <w:sz w:val="16"/>
      <w:szCs w:val="16"/>
    </w:rPr>
  </w:style>
  <w:style w:type="paragraph" w:styleId="TOCHeading">
    <w:name w:val="TOC Heading"/>
    <w:basedOn w:val="Heading1"/>
    <w:next w:val="Normal"/>
    <w:uiPriority w:val="39"/>
    <w:semiHidden/>
    <w:unhideWhenUsed/>
    <w:qFormat/>
    <w:rsid w:val="00900F07"/>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ja-JP"/>
    </w:rPr>
  </w:style>
  <w:style w:type="paragraph" w:styleId="TOC1">
    <w:name w:val="toc 1"/>
    <w:basedOn w:val="Normal"/>
    <w:next w:val="Normal"/>
    <w:autoRedefine/>
    <w:uiPriority w:val="39"/>
    <w:rsid w:val="00900F07"/>
    <w:pPr>
      <w:spacing w:after="100"/>
    </w:pPr>
  </w:style>
  <w:style w:type="character" w:styleId="Hyperlink">
    <w:name w:val="Hyperlink"/>
    <w:basedOn w:val="DefaultParagraphFont"/>
    <w:uiPriority w:val="99"/>
    <w:unhideWhenUsed/>
    <w:rsid w:val="00900F07"/>
    <w:rPr>
      <w:color w:val="0000FF" w:themeColor="hyperlink"/>
      <w:u w:val="single"/>
    </w:rPr>
  </w:style>
  <w:style w:type="character" w:customStyle="1" w:styleId="Heading2Char">
    <w:name w:val="Heading 2 Char"/>
    <w:basedOn w:val="DefaultParagraphFont"/>
    <w:link w:val="Heading2"/>
    <w:semiHidden/>
    <w:rsid w:val="005F3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F327D"/>
    <w:pPr>
      <w:spacing w:after="100"/>
      <w:ind w:left="240"/>
    </w:pPr>
  </w:style>
  <w:style w:type="paragraph" w:styleId="TOC3">
    <w:name w:val="toc 3"/>
    <w:basedOn w:val="Normal"/>
    <w:next w:val="Normal"/>
    <w:autoRedefine/>
    <w:uiPriority w:val="39"/>
    <w:rsid w:val="001A0D28"/>
    <w:pPr>
      <w:tabs>
        <w:tab w:val="left" w:pos="880"/>
        <w:tab w:val="right" w:leader="dot" w:pos="8630"/>
      </w:tabs>
      <w:spacing w:after="100" w:line="360" w:lineRule="auto"/>
      <w:ind w:left="480"/>
      <w:jc w:val="both"/>
    </w:pPr>
  </w:style>
  <w:style w:type="character" w:styleId="CommentReference">
    <w:name w:val="annotation reference"/>
    <w:basedOn w:val="DefaultParagraphFont"/>
    <w:rsid w:val="00272463"/>
    <w:rPr>
      <w:sz w:val="16"/>
      <w:szCs w:val="16"/>
    </w:rPr>
  </w:style>
  <w:style w:type="paragraph" w:styleId="CommentText">
    <w:name w:val="annotation text"/>
    <w:basedOn w:val="Normal"/>
    <w:link w:val="CommentTextChar"/>
    <w:rsid w:val="00272463"/>
    <w:rPr>
      <w:sz w:val="20"/>
      <w:szCs w:val="20"/>
    </w:rPr>
  </w:style>
  <w:style w:type="character" w:customStyle="1" w:styleId="CommentTextChar">
    <w:name w:val="Comment Text Char"/>
    <w:basedOn w:val="DefaultParagraphFont"/>
    <w:link w:val="CommentText"/>
    <w:rsid w:val="00272463"/>
  </w:style>
  <w:style w:type="paragraph" w:styleId="CommentSubject">
    <w:name w:val="annotation subject"/>
    <w:basedOn w:val="CommentText"/>
    <w:next w:val="CommentText"/>
    <w:link w:val="CommentSubjectChar"/>
    <w:rsid w:val="00272463"/>
    <w:rPr>
      <w:b/>
      <w:bCs/>
    </w:rPr>
  </w:style>
  <w:style w:type="character" w:customStyle="1" w:styleId="CommentSubjectChar">
    <w:name w:val="Comment Subject Char"/>
    <w:basedOn w:val="CommentTextChar"/>
    <w:link w:val="CommentSubject"/>
    <w:rsid w:val="00272463"/>
    <w:rPr>
      <w:b/>
      <w:bCs/>
    </w:rPr>
  </w:style>
  <w:style w:type="paragraph" w:styleId="Revision">
    <w:name w:val="Revision"/>
    <w:hidden/>
    <w:uiPriority w:val="99"/>
    <w:semiHidden/>
    <w:rsid w:val="009239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2824-F827-482E-A2C5-42339ED4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F1DFCCC1</Template>
  <TotalTime>9</TotalTime>
  <Pages>24</Pages>
  <Words>5541</Words>
  <Characters>31588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Susan Chan</cp:lastModifiedBy>
  <cp:revision>3</cp:revision>
  <cp:lastPrinted>2016-08-02T15:55:00Z</cp:lastPrinted>
  <dcterms:created xsi:type="dcterms:W3CDTF">2016-08-03T16:15:00Z</dcterms:created>
  <dcterms:modified xsi:type="dcterms:W3CDTF">2016-08-03T16:24:00Z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