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8B09" w14:textId="77777777" w:rsidR="00FB0797" w:rsidRPr="00B24052" w:rsidRDefault="00FB0797">
      <w:pPr>
        <w:pStyle w:val="Heading1"/>
        <w:rPr>
          <w:sz w:val="24"/>
        </w:rPr>
      </w:pPr>
      <w:bookmarkStart w:id="0" w:name="_Toc521133691"/>
      <w:bookmarkStart w:id="1" w:name="_Toc521133841"/>
      <w:bookmarkStart w:id="2" w:name="_GoBack"/>
      <w:bookmarkEnd w:id="2"/>
      <w:r w:rsidRPr="00B24052">
        <w:rPr>
          <w:sz w:val="24"/>
        </w:rPr>
        <w:t>RIVERSIDE: AUDIT &amp; ADVISORY SERVICES</w:t>
      </w:r>
      <w:bookmarkEnd w:id="0"/>
      <w:bookmarkEnd w:id="1"/>
    </w:p>
    <w:p w14:paraId="1FB8B914" w14:textId="77777777" w:rsidR="00FB0797" w:rsidRPr="00B24052" w:rsidRDefault="00FB0797">
      <w:pPr>
        <w:rPr>
          <w:sz w:val="24"/>
        </w:rPr>
      </w:pPr>
    </w:p>
    <w:p w14:paraId="0CA101D2" w14:textId="77777777" w:rsidR="00FB0797" w:rsidRPr="00B24052" w:rsidRDefault="00FB0797">
      <w:pPr>
        <w:rPr>
          <w:sz w:val="24"/>
        </w:rPr>
      </w:pPr>
    </w:p>
    <w:p w14:paraId="17CF88B1" w14:textId="77777777" w:rsidR="00FB0797" w:rsidRPr="00B24052" w:rsidRDefault="00FB0797">
      <w:pPr>
        <w:pStyle w:val="Heading2"/>
        <w:rPr>
          <w:b w:val="0"/>
        </w:rPr>
      </w:pPr>
    </w:p>
    <w:p w14:paraId="0FBBB902" w14:textId="77777777" w:rsidR="00FB0797" w:rsidRDefault="00FB0797">
      <w:pPr>
        <w:rPr>
          <w:b/>
          <w:color w:val="FF0000"/>
          <w:sz w:val="24"/>
        </w:rPr>
      </w:pPr>
    </w:p>
    <w:p w14:paraId="2FB538E0" w14:textId="77777777" w:rsidR="008B0D8C" w:rsidRDefault="008B0D8C">
      <w:pPr>
        <w:rPr>
          <w:b/>
          <w:color w:val="FF0000"/>
          <w:sz w:val="24"/>
        </w:rPr>
      </w:pPr>
    </w:p>
    <w:p w14:paraId="5653B739" w14:textId="77777777" w:rsidR="008B0D8C" w:rsidRDefault="008B0D8C">
      <w:pPr>
        <w:rPr>
          <w:b/>
          <w:color w:val="FF0000"/>
          <w:sz w:val="24"/>
        </w:rPr>
      </w:pPr>
    </w:p>
    <w:p w14:paraId="64A8FB58" w14:textId="77777777" w:rsidR="008B0D8C" w:rsidRDefault="008B0D8C">
      <w:pPr>
        <w:rPr>
          <w:b/>
          <w:color w:val="FF0000"/>
          <w:sz w:val="24"/>
        </w:rPr>
      </w:pPr>
    </w:p>
    <w:p w14:paraId="41BF3F8D" w14:textId="77777777" w:rsidR="008B0D8C" w:rsidRPr="00B24052" w:rsidRDefault="008B0D8C">
      <w:pPr>
        <w:rPr>
          <w:b/>
          <w:color w:val="FF0000"/>
          <w:sz w:val="24"/>
        </w:rPr>
      </w:pPr>
    </w:p>
    <w:p w14:paraId="60F5E33B" w14:textId="77777777" w:rsidR="00FB0797" w:rsidRPr="00B24052" w:rsidRDefault="00FB0797">
      <w:pPr>
        <w:rPr>
          <w:sz w:val="24"/>
        </w:rPr>
      </w:pPr>
    </w:p>
    <w:p w14:paraId="541B348F" w14:textId="2BEFBD57" w:rsidR="00FB0797" w:rsidRPr="00B24052" w:rsidRDefault="00EC6BB5">
      <w:pPr>
        <w:rPr>
          <w:sz w:val="24"/>
        </w:rPr>
      </w:pPr>
      <w:r>
        <w:rPr>
          <w:sz w:val="24"/>
        </w:rPr>
        <w:t xml:space="preserve">December </w:t>
      </w:r>
      <w:r w:rsidR="0005757B">
        <w:rPr>
          <w:sz w:val="24"/>
        </w:rPr>
        <w:t>2</w:t>
      </w:r>
      <w:r w:rsidR="003E75A4">
        <w:rPr>
          <w:sz w:val="24"/>
        </w:rPr>
        <w:t>1</w:t>
      </w:r>
      <w:r w:rsidR="00F905E9">
        <w:rPr>
          <w:sz w:val="24"/>
        </w:rPr>
        <w:t>, 201</w:t>
      </w:r>
      <w:r w:rsidR="00ED5577">
        <w:rPr>
          <w:sz w:val="24"/>
        </w:rPr>
        <w:t>8</w:t>
      </w:r>
    </w:p>
    <w:p w14:paraId="32BC41E5" w14:textId="77777777" w:rsidR="00FB0797" w:rsidRPr="00B24052" w:rsidRDefault="00FB0797">
      <w:pPr>
        <w:ind w:left="900" w:hanging="900"/>
        <w:rPr>
          <w:sz w:val="24"/>
        </w:rPr>
      </w:pPr>
    </w:p>
    <w:p w14:paraId="47E32C6B" w14:textId="77777777" w:rsidR="00AE1738" w:rsidRPr="00B24052" w:rsidRDefault="00FB0797" w:rsidP="00AE1738">
      <w:pPr>
        <w:ind w:left="900" w:hanging="900"/>
        <w:rPr>
          <w:sz w:val="24"/>
        </w:rPr>
      </w:pPr>
      <w:r w:rsidRPr="00B24052">
        <w:rPr>
          <w:sz w:val="24"/>
        </w:rPr>
        <w:t>To:</w:t>
      </w:r>
      <w:r w:rsidRPr="00B24052">
        <w:rPr>
          <w:sz w:val="24"/>
        </w:rPr>
        <w:tab/>
      </w:r>
      <w:r w:rsidR="00AE1738" w:rsidRPr="00E05A3D">
        <w:rPr>
          <w:sz w:val="24"/>
        </w:rPr>
        <w:t>Ethics &amp; Compliance Risk and Audit Controls (ECRAC) Committee</w:t>
      </w:r>
    </w:p>
    <w:p w14:paraId="48C11639" w14:textId="77777777" w:rsidR="00FB0797" w:rsidRPr="00B24052" w:rsidRDefault="00FB0797">
      <w:pPr>
        <w:ind w:left="900" w:hanging="900"/>
        <w:rPr>
          <w:sz w:val="24"/>
        </w:rPr>
      </w:pPr>
    </w:p>
    <w:p w14:paraId="327E525D" w14:textId="671A9369" w:rsidR="00FB0797" w:rsidRPr="00B24052" w:rsidRDefault="00FB0797">
      <w:pPr>
        <w:ind w:left="900" w:hanging="900"/>
        <w:rPr>
          <w:sz w:val="24"/>
        </w:rPr>
      </w:pPr>
      <w:r w:rsidRPr="00B24052">
        <w:rPr>
          <w:sz w:val="24"/>
        </w:rPr>
        <w:t>Subject:</w:t>
      </w:r>
      <w:r w:rsidRPr="00B24052">
        <w:rPr>
          <w:sz w:val="24"/>
        </w:rPr>
        <w:tab/>
        <w:t xml:space="preserve">Financial Analytical Review </w:t>
      </w:r>
      <w:r w:rsidR="00B22757">
        <w:rPr>
          <w:sz w:val="24"/>
        </w:rPr>
        <w:t>– General Ledger</w:t>
      </w:r>
    </w:p>
    <w:p w14:paraId="332A8277" w14:textId="23577B57" w:rsidR="00FB0797" w:rsidRPr="00B24052" w:rsidRDefault="002769DB" w:rsidP="002769DB">
      <w:pPr>
        <w:tabs>
          <w:tab w:val="left" w:pos="2861"/>
        </w:tabs>
        <w:ind w:left="900" w:hanging="900"/>
        <w:rPr>
          <w:sz w:val="24"/>
        </w:rPr>
      </w:pPr>
      <w:r>
        <w:rPr>
          <w:sz w:val="24"/>
        </w:rPr>
        <w:tab/>
      </w:r>
    </w:p>
    <w:p w14:paraId="00DBF06B" w14:textId="7B4CA024" w:rsidR="00FB0797" w:rsidRPr="00B24052" w:rsidRDefault="003F5B90">
      <w:pPr>
        <w:ind w:left="900" w:hanging="900"/>
        <w:rPr>
          <w:sz w:val="24"/>
        </w:rPr>
      </w:pPr>
      <w:r>
        <w:rPr>
          <w:sz w:val="24"/>
        </w:rPr>
        <w:t>Ref:</w:t>
      </w:r>
      <w:r>
        <w:rPr>
          <w:sz w:val="24"/>
        </w:rPr>
        <w:tab/>
        <w:t>R201</w:t>
      </w:r>
      <w:r w:rsidR="00B22757">
        <w:rPr>
          <w:sz w:val="24"/>
        </w:rPr>
        <w:t>7</w:t>
      </w:r>
      <w:r w:rsidR="00F905E9">
        <w:rPr>
          <w:sz w:val="24"/>
        </w:rPr>
        <w:t>-</w:t>
      </w:r>
      <w:r w:rsidR="00D058C1">
        <w:rPr>
          <w:sz w:val="24"/>
        </w:rPr>
        <w:t>11</w:t>
      </w:r>
      <w:r w:rsidR="00B22757">
        <w:rPr>
          <w:sz w:val="24"/>
        </w:rPr>
        <w:t>b</w:t>
      </w:r>
    </w:p>
    <w:p w14:paraId="10A2DC8A" w14:textId="77777777" w:rsidR="00FB0797" w:rsidRPr="00B24052" w:rsidRDefault="00FB0797">
      <w:pPr>
        <w:rPr>
          <w:sz w:val="24"/>
        </w:rPr>
      </w:pPr>
    </w:p>
    <w:p w14:paraId="52F35F4B" w14:textId="22001541" w:rsidR="00FB0797" w:rsidRPr="00B24052" w:rsidRDefault="00913477" w:rsidP="00913477">
      <w:pPr>
        <w:tabs>
          <w:tab w:val="left" w:pos="4857"/>
        </w:tabs>
        <w:rPr>
          <w:sz w:val="24"/>
        </w:rPr>
      </w:pPr>
      <w:r>
        <w:rPr>
          <w:sz w:val="24"/>
        </w:rPr>
        <w:tab/>
      </w:r>
    </w:p>
    <w:p w14:paraId="5D9B9853" w14:textId="3F8CF3AC" w:rsidR="00FB0797" w:rsidRPr="00B24052" w:rsidRDefault="00FB0797">
      <w:pPr>
        <w:rPr>
          <w:sz w:val="24"/>
        </w:rPr>
      </w:pPr>
      <w:r w:rsidRPr="00B24052">
        <w:rPr>
          <w:sz w:val="24"/>
        </w:rPr>
        <w:t xml:space="preserve">We have completed </w:t>
      </w:r>
      <w:r w:rsidR="00566B06">
        <w:rPr>
          <w:sz w:val="24"/>
        </w:rPr>
        <w:t>our</w:t>
      </w:r>
      <w:r w:rsidRPr="00B24052">
        <w:rPr>
          <w:sz w:val="24"/>
        </w:rPr>
        <w:t xml:space="preserve"> Financial Analytical Review</w:t>
      </w:r>
      <w:r w:rsidR="00B22757">
        <w:rPr>
          <w:sz w:val="24"/>
        </w:rPr>
        <w:t xml:space="preserve"> – General Ledger </w:t>
      </w:r>
      <w:r w:rsidR="0005757B">
        <w:rPr>
          <w:sz w:val="24"/>
        </w:rPr>
        <w:t xml:space="preserve">engagement </w:t>
      </w:r>
      <w:r w:rsidRPr="00B24052">
        <w:rPr>
          <w:sz w:val="24"/>
        </w:rPr>
        <w:t>in accordance with the U</w:t>
      </w:r>
      <w:r w:rsidR="00781917">
        <w:rPr>
          <w:sz w:val="24"/>
        </w:rPr>
        <w:t xml:space="preserve">niversity of </w:t>
      </w:r>
      <w:r w:rsidRPr="00B24052">
        <w:rPr>
          <w:sz w:val="24"/>
        </w:rPr>
        <w:t>C</w:t>
      </w:r>
      <w:r w:rsidR="00781917">
        <w:rPr>
          <w:sz w:val="24"/>
        </w:rPr>
        <w:t>alifornia,</w:t>
      </w:r>
      <w:r w:rsidRPr="00B24052">
        <w:rPr>
          <w:sz w:val="24"/>
        </w:rPr>
        <w:t xml:space="preserve"> Riverside Internal Audit Plan.  Our report is attached for your review.  </w:t>
      </w:r>
      <w:r w:rsidR="003A488A">
        <w:rPr>
          <w:sz w:val="24"/>
        </w:rPr>
        <w:t>We will perform follow-up procedures in the future to review the status of management action.  This follow-up may take the form of a discussion or perha</w:t>
      </w:r>
      <w:r w:rsidR="00E45FE5">
        <w:rPr>
          <w:sz w:val="24"/>
        </w:rPr>
        <w:t>ps a limited review.</w:t>
      </w:r>
      <w:r w:rsidR="001D4FFA">
        <w:rPr>
          <w:sz w:val="24"/>
        </w:rPr>
        <w:t xml:space="preserve"> </w:t>
      </w:r>
      <w:r w:rsidR="00E45FE5">
        <w:rPr>
          <w:sz w:val="24"/>
        </w:rPr>
        <w:t xml:space="preserve"> R201</w:t>
      </w:r>
      <w:r w:rsidR="00B22757">
        <w:rPr>
          <w:sz w:val="24"/>
        </w:rPr>
        <w:t>7</w:t>
      </w:r>
      <w:r w:rsidR="00F905E9">
        <w:rPr>
          <w:sz w:val="24"/>
        </w:rPr>
        <w:t>-1</w:t>
      </w:r>
      <w:r w:rsidR="00D058C1">
        <w:rPr>
          <w:sz w:val="24"/>
        </w:rPr>
        <w:t>1</w:t>
      </w:r>
      <w:r w:rsidR="00B22757">
        <w:rPr>
          <w:sz w:val="24"/>
        </w:rPr>
        <w:t>b</w:t>
      </w:r>
      <w:r w:rsidR="003A488A">
        <w:rPr>
          <w:sz w:val="24"/>
        </w:rPr>
        <w:t xml:space="preserve"> will remain open until we have evaluated the actions taken. </w:t>
      </w:r>
    </w:p>
    <w:p w14:paraId="352F82AB" w14:textId="77777777" w:rsidR="00FB0797" w:rsidRPr="00B24052" w:rsidRDefault="00FB0797">
      <w:pPr>
        <w:rPr>
          <w:sz w:val="24"/>
        </w:rPr>
      </w:pPr>
    </w:p>
    <w:p w14:paraId="223CF267" w14:textId="0CD894DF" w:rsidR="00AE1738" w:rsidRPr="00B24052" w:rsidRDefault="00AE1738" w:rsidP="00AE1738">
      <w:pPr>
        <w:rPr>
          <w:sz w:val="24"/>
        </w:rPr>
      </w:pPr>
      <w:r>
        <w:rPr>
          <w:sz w:val="24"/>
        </w:rPr>
        <w:t xml:space="preserve">Should you have any questions regarding the report, please do not hesitate to contact me. </w:t>
      </w:r>
    </w:p>
    <w:p w14:paraId="7E15DC51" w14:textId="77777777" w:rsidR="00FB0797" w:rsidRPr="00B24052" w:rsidRDefault="00FB0797">
      <w:pPr>
        <w:rPr>
          <w:sz w:val="24"/>
        </w:rPr>
      </w:pPr>
    </w:p>
    <w:p w14:paraId="27B2078A" w14:textId="77777777" w:rsidR="00FB0797" w:rsidRPr="00B24052" w:rsidRDefault="00FB0797">
      <w:pPr>
        <w:rPr>
          <w:sz w:val="24"/>
        </w:rPr>
      </w:pPr>
    </w:p>
    <w:p w14:paraId="73D7F333" w14:textId="77777777" w:rsidR="00FB0797" w:rsidRPr="00B24052" w:rsidRDefault="00FB0797">
      <w:pPr>
        <w:rPr>
          <w:sz w:val="24"/>
        </w:rPr>
      </w:pPr>
    </w:p>
    <w:p w14:paraId="3E99E2F7" w14:textId="77777777" w:rsidR="00FB0797" w:rsidRPr="00B24052" w:rsidRDefault="00FB0797">
      <w:pPr>
        <w:rPr>
          <w:sz w:val="24"/>
        </w:rPr>
      </w:pPr>
    </w:p>
    <w:p w14:paraId="30A4E5E3" w14:textId="77777777" w:rsidR="00FB0797" w:rsidRPr="00B24052" w:rsidRDefault="00FB0797">
      <w:pPr>
        <w:rPr>
          <w:sz w:val="24"/>
        </w:rPr>
      </w:pPr>
    </w:p>
    <w:p w14:paraId="41140C3B" w14:textId="77777777" w:rsidR="00FB0797" w:rsidRPr="00B24052" w:rsidRDefault="00FB0797">
      <w:pPr>
        <w:rPr>
          <w:sz w:val="24"/>
        </w:rPr>
      </w:pP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00F25D52">
        <w:rPr>
          <w:sz w:val="24"/>
        </w:rPr>
        <w:t>Gregory Moore</w:t>
      </w:r>
    </w:p>
    <w:p w14:paraId="39261A50" w14:textId="77777777" w:rsidR="00FB0797" w:rsidRPr="00B24052" w:rsidRDefault="00FB0797">
      <w:pPr>
        <w:rPr>
          <w:sz w:val="24"/>
        </w:rPr>
      </w:pP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t>Director</w:t>
      </w:r>
    </w:p>
    <w:p w14:paraId="05CC319A" w14:textId="77777777" w:rsidR="00FB0797" w:rsidRPr="00B24052" w:rsidRDefault="00FB0797">
      <w:pPr>
        <w:rPr>
          <w:sz w:val="24"/>
        </w:rPr>
      </w:pPr>
    </w:p>
    <w:p w14:paraId="05979FD0" w14:textId="77777777" w:rsidR="00FB0797" w:rsidRPr="00B24052" w:rsidRDefault="00FB0797">
      <w:pPr>
        <w:rPr>
          <w:sz w:val="24"/>
        </w:rPr>
      </w:pPr>
    </w:p>
    <w:p w14:paraId="24DAB140" w14:textId="77777777" w:rsidR="00FB0797" w:rsidRPr="00B24052" w:rsidRDefault="00FB0797">
      <w:pPr>
        <w:rPr>
          <w:sz w:val="24"/>
        </w:rPr>
      </w:pPr>
    </w:p>
    <w:p w14:paraId="74CEB10C" w14:textId="77777777" w:rsidR="00FB0797" w:rsidRPr="00B24052" w:rsidRDefault="00FB0797">
      <w:pPr>
        <w:rPr>
          <w:sz w:val="24"/>
        </w:rPr>
      </w:pPr>
    </w:p>
    <w:p w14:paraId="386B2088" w14:textId="77777777" w:rsidR="00FB0797" w:rsidRPr="00B24052" w:rsidRDefault="00FB0797">
      <w:pPr>
        <w:rPr>
          <w:sz w:val="24"/>
        </w:rPr>
      </w:pPr>
    </w:p>
    <w:p w14:paraId="00CBCEF6" w14:textId="77777777" w:rsidR="00FB0797" w:rsidRPr="00B24052" w:rsidRDefault="00FB0797">
      <w:pPr>
        <w:rPr>
          <w:sz w:val="24"/>
        </w:rPr>
      </w:pPr>
    </w:p>
    <w:p w14:paraId="297B6615" w14:textId="77777777" w:rsidR="006D41B4" w:rsidRDefault="006D41B4" w:rsidP="006D41B4">
      <w:pPr>
        <w:rPr>
          <w:sz w:val="24"/>
          <w:szCs w:val="24"/>
        </w:rPr>
      </w:pPr>
      <w:r w:rsidRPr="00B24052">
        <w:rPr>
          <w:sz w:val="24"/>
          <w:szCs w:val="24"/>
        </w:rPr>
        <w:tab/>
      </w:r>
      <w:r w:rsidRPr="00B24052">
        <w:rPr>
          <w:sz w:val="24"/>
          <w:szCs w:val="24"/>
        </w:rPr>
        <w:tab/>
      </w:r>
    </w:p>
    <w:p w14:paraId="7E07E9C3" w14:textId="77777777" w:rsidR="00593796" w:rsidRPr="00B24052" w:rsidRDefault="00593796" w:rsidP="006D41B4">
      <w:pPr>
        <w:rPr>
          <w:sz w:val="24"/>
          <w:szCs w:val="24"/>
        </w:rPr>
      </w:pPr>
      <w:r>
        <w:rPr>
          <w:sz w:val="24"/>
          <w:szCs w:val="24"/>
        </w:rPr>
        <w:tab/>
      </w:r>
    </w:p>
    <w:p w14:paraId="109FD3E5" w14:textId="77777777" w:rsidR="00206288" w:rsidRPr="00B24052" w:rsidRDefault="00206288" w:rsidP="006E25DF">
      <w:pPr>
        <w:rPr>
          <w:sz w:val="24"/>
          <w:szCs w:val="24"/>
        </w:rPr>
      </w:pPr>
    </w:p>
    <w:p w14:paraId="5E909F3A" w14:textId="77777777" w:rsidR="00FB0797" w:rsidRPr="00B24052" w:rsidRDefault="00FB0797">
      <w:pPr>
        <w:jc w:val="center"/>
        <w:rPr>
          <w:b/>
          <w:sz w:val="24"/>
        </w:rPr>
      </w:pPr>
      <w:r w:rsidRPr="00B24052">
        <w:rPr>
          <w:b/>
          <w:sz w:val="24"/>
        </w:rPr>
        <w:br w:type="page"/>
      </w:r>
    </w:p>
    <w:p w14:paraId="6D396642" w14:textId="77777777" w:rsidR="00FB0797" w:rsidRPr="00B24052" w:rsidRDefault="00FB0797">
      <w:pPr>
        <w:jc w:val="center"/>
        <w:rPr>
          <w:b/>
          <w:sz w:val="24"/>
        </w:rPr>
      </w:pPr>
    </w:p>
    <w:p w14:paraId="4E14EB49" w14:textId="77777777" w:rsidR="00FB0797" w:rsidRPr="00B24052" w:rsidRDefault="00FB0797">
      <w:pPr>
        <w:jc w:val="center"/>
        <w:rPr>
          <w:b/>
          <w:sz w:val="24"/>
        </w:rPr>
      </w:pPr>
    </w:p>
    <w:p w14:paraId="13932C5C" w14:textId="77777777" w:rsidR="00FB0797" w:rsidRPr="00B24052" w:rsidRDefault="00FB0797">
      <w:pPr>
        <w:jc w:val="center"/>
        <w:rPr>
          <w:b/>
          <w:sz w:val="24"/>
        </w:rPr>
      </w:pPr>
    </w:p>
    <w:p w14:paraId="10197AED" w14:textId="77777777" w:rsidR="00FB0797" w:rsidRPr="00B24052" w:rsidRDefault="00FB0797">
      <w:pPr>
        <w:jc w:val="center"/>
        <w:rPr>
          <w:b/>
          <w:sz w:val="24"/>
        </w:rPr>
      </w:pPr>
    </w:p>
    <w:p w14:paraId="3C8D7DBC" w14:textId="77777777" w:rsidR="00FB0797" w:rsidRPr="00B24052" w:rsidRDefault="00FB0797">
      <w:pPr>
        <w:jc w:val="center"/>
        <w:rPr>
          <w:b/>
          <w:color w:val="FF0000"/>
          <w:sz w:val="24"/>
        </w:rPr>
      </w:pPr>
    </w:p>
    <w:p w14:paraId="1B1D7283" w14:textId="77777777" w:rsidR="00FB0797" w:rsidRPr="00B24052" w:rsidRDefault="00FB0797">
      <w:pPr>
        <w:jc w:val="center"/>
        <w:rPr>
          <w:b/>
          <w:sz w:val="24"/>
        </w:rPr>
      </w:pPr>
    </w:p>
    <w:p w14:paraId="53BEBD91" w14:textId="77777777" w:rsidR="00FB0797" w:rsidRPr="00B24052" w:rsidRDefault="00FB0797">
      <w:pPr>
        <w:jc w:val="center"/>
        <w:rPr>
          <w:sz w:val="24"/>
        </w:rPr>
      </w:pPr>
    </w:p>
    <w:p w14:paraId="577B436F" w14:textId="77777777" w:rsidR="00FB0797" w:rsidRPr="00B24052" w:rsidRDefault="00FB0797">
      <w:pPr>
        <w:jc w:val="center"/>
        <w:rPr>
          <w:sz w:val="24"/>
        </w:rPr>
      </w:pPr>
      <w:r w:rsidRPr="00B24052">
        <w:rPr>
          <w:sz w:val="24"/>
        </w:rPr>
        <w:t>UNIVERSITY OF CALIFORNIA AT RIVERSIDE</w:t>
      </w:r>
    </w:p>
    <w:p w14:paraId="2ED6D869" w14:textId="77777777" w:rsidR="00FB0797" w:rsidRPr="00B24052" w:rsidRDefault="00FB0797">
      <w:pPr>
        <w:jc w:val="center"/>
        <w:rPr>
          <w:sz w:val="24"/>
        </w:rPr>
      </w:pPr>
    </w:p>
    <w:p w14:paraId="0338FAE2" w14:textId="77777777" w:rsidR="00FB0797" w:rsidRPr="00B24052" w:rsidRDefault="00FB0797">
      <w:pPr>
        <w:jc w:val="center"/>
        <w:rPr>
          <w:sz w:val="24"/>
        </w:rPr>
      </w:pPr>
      <w:r w:rsidRPr="00B24052">
        <w:rPr>
          <w:sz w:val="24"/>
        </w:rPr>
        <w:t>AUDIT &amp; ADVISORY SERVICES</w:t>
      </w:r>
    </w:p>
    <w:p w14:paraId="3BFD4F33" w14:textId="77777777" w:rsidR="00FB0797" w:rsidRPr="00B24052" w:rsidRDefault="00FB0797">
      <w:pPr>
        <w:jc w:val="center"/>
        <w:rPr>
          <w:sz w:val="24"/>
        </w:rPr>
      </w:pPr>
    </w:p>
    <w:p w14:paraId="7FD4199D" w14:textId="77777777" w:rsidR="00FB0797" w:rsidRPr="00B24052" w:rsidRDefault="00FB0797">
      <w:pPr>
        <w:jc w:val="center"/>
        <w:rPr>
          <w:sz w:val="24"/>
        </w:rPr>
      </w:pPr>
      <w:r w:rsidRPr="00B24052">
        <w:rPr>
          <w:sz w:val="24"/>
        </w:rPr>
        <w:t>MEMBER OF ASSOCIATION OF COLLEGE &amp; UNIVERSITY AUDITORS</w:t>
      </w:r>
    </w:p>
    <w:p w14:paraId="06E794D3" w14:textId="77777777" w:rsidR="00FB0797" w:rsidRPr="00B24052" w:rsidRDefault="00FB0797">
      <w:pPr>
        <w:jc w:val="center"/>
        <w:rPr>
          <w:sz w:val="24"/>
        </w:rPr>
      </w:pPr>
    </w:p>
    <w:p w14:paraId="7D450EA2" w14:textId="77777777" w:rsidR="00FB0797" w:rsidRPr="00B24052" w:rsidRDefault="00FB0797">
      <w:pPr>
        <w:jc w:val="center"/>
        <w:rPr>
          <w:sz w:val="24"/>
        </w:rPr>
      </w:pPr>
    </w:p>
    <w:p w14:paraId="5D4F4E97" w14:textId="77777777" w:rsidR="00FB0797" w:rsidRPr="00B24052" w:rsidRDefault="00FB0797">
      <w:pPr>
        <w:jc w:val="center"/>
        <w:rPr>
          <w:sz w:val="24"/>
        </w:rPr>
      </w:pPr>
    </w:p>
    <w:p w14:paraId="4686ECDE" w14:textId="30898DF1" w:rsidR="00FB0797" w:rsidRPr="00B24052" w:rsidRDefault="00FB0797">
      <w:pPr>
        <w:jc w:val="center"/>
        <w:rPr>
          <w:sz w:val="24"/>
        </w:rPr>
      </w:pPr>
      <w:r w:rsidRPr="00B24052">
        <w:rPr>
          <w:sz w:val="24"/>
        </w:rPr>
        <w:t xml:space="preserve">REPORT </w:t>
      </w:r>
      <w:r w:rsidR="00D058C1" w:rsidRPr="00B24052">
        <w:rPr>
          <w:sz w:val="24"/>
        </w:rPr>
        <w:t>R20</w:t>
      </w:r>
      <w:r w:rsidR="00D058C1">
        <w:rPr>
          <w:sz w:val="24"/>
        </w:rPr>
        <w:t>1</w:t>
      </w:r>
      <w:r w:rsidR="00B22757">
        <w:rPr>
          <w:sz w:val="24"/>
        </w:rPr>
        <w:t>7</w:t>
      </w:r>
      <w:r w:rsidR="00F905E9">
        <w:rPr>
          <w:sz w:val="24"/>
        </w:rPr>
        <w:t>-1</w:t>
      </w:r>
      <w:r w:rsidR="00D058C1">
        <w:rPr>
          <w:sz w:val="24"/>
        </w:rPr>
        <w:t>1</w:t>
      </w:r>
      <w:r w:rsidR="00556435">
        <w:rPr>
          <w:sz w:val="24"/>
        </w:rPr>
        <w:t>b</w:t>
      </w:r>
    </w:p>
    <w:p w14:paraId="4139DDB6" w14:textId="77777777" w:rsidR="00FB0797" w:rsidRPr="00B24052" w:rsidRDefault="00FB0797">
      <w:pPr>
        <w:jc w:val="center"/>
        <w:rPr>
          <w:sz w:val="24"/>
        </w:rPr>
      </w:pPr>
    </w:p>
    <w:p w14:paraId="63FB5985" w14:textId="13BF163D" w:rsidR="00FB0797" w:rsidRPr="00B24052" w:rsidRDefault="00FB0797">
      <w:pPr>
        <w:jc w:val="center"/>
        <w:rPr>
          <w:sz w:val="24"/>
        </w:rPr>
      </w:pPr>
      <w:r w:rsidRPr="00B24052">
        <w:rPr>
          <w:sz w:val="24"/>
        </w:rPr>
        <w:t>FINANCIAL ANALYTICAL REVIEW</w:t>
      </w:r>
      <w:r w:rsidR="00B22757">
        <w:rPr>
          <w:sz w:val="24"/>
        </w:rPr>
        <w:t xml:space="preserve"> – GENERAL LEDGER</w:t>
      </w:r>
    </w:p>
    <w:p w14:paraId="3CA62B51" w14:textId="77777777" w:rsidR="00FB0797" w:rsidRPr="00B24052" w:rsidRDefault="00FB0797">
      <w:pPr>
        <w:jc w:val="center"/>
        <w:rPr>
          <w:sz w:val="24"/>
        </w:rPr>
      </w:pPr>
    </w:p>
    <w:p w14:paraId="4DD8A0C3" w14:textId="77777777" w:rsidR="00FB0797" w:rsidRPr="00B24052" w:rsidRDefault="00FB0797">
      <w:pPr>
        <w:jc w:val="center"/>
        <w:rPr>
          <w:sz w:val="24"/>
        </w:rPr>
      </w:pPr>
    </w:p>
    <w:p w14:paraId="0A9C269E" w14:textId="3252B021" w:rsidR="00FB0797" w:rsidRPr="00B24052" w:rsidRDefault="00EC6BB5">
      <w:pPr>
        <w:jc w:val="center"/>
        <w:rPr>
          <w:sz w:val="24"/>
        </w:rPr>
      </w:pPr>
      <w:r>
        <w:rPr>
          <w:sz w:val="24"/>
        </w:rPr>
        <w:t>DECEMBER</w:t>
      </w:r>
      <w:r w:rsidR="00FD3921">
        <w:rPr>
          <w:sz w:val="24"/>
        </w:rPr>
        <w:t xml:space="preserve"> </w:t>
      </w:r>
      <w:r w:rsidR="00ED5577">
        <w:rPr>
          <w:sz w:val="24"/>
        </w:rPr>
        <w:t>2018</w:t>
      </w:r>
    </w:p>
    <w:p w14:paraId="238243B5" w14:textId="77777777" w:rsidR="007564D9" w:rsidRPr="00B24052" w:rsidRDefault="007564D9">
      <w:pPr>
        <w:jc w:val="center"/>
        <w:rPr>
          <w:sz w:val="24"/>
        </w:rPr>
      </w:pPr>
    </w:p>
    <w:p w14:paraId="576C3518" w14:textId="77777777" w:rsidR="00FB0797" w:rsidRPr="00B24052" w:rsidRDefault="00FB0797">
      <w:pPr>
        <w:rPr>
          <w:sz w:val="24"/>
        </w:rPr>
      </w:pPr>
    </w:p>
    <w:p w14:paraId="6D3DB85A" w14:textId="77777777" w:rsidR="00FB0797" w:rsidRPr="00B24052" w:rsidRDefault="00FB0797">
      <w:pPr>
        <w:rPr>
          <w:sz w:val="24"/>
        </w:rPr>
      </w:pPr>
    </w:p>
    <w:p w14:paraId="73D63E57" w14:textId="77777777" w:rsidR="00FB0797" w:rsidRPr="00B24052" w:rsidRDefault="00FB0797">
      <w:pPr>
        <w:rPr>
          <w:sz w:val="24"/>
        </w:rPr>
      </w:pPr>
    </w:p>
    <w:p w14:paraId="7D22944D" w14:textId="77777777" w:rsidR="00FB0797" w:rsidRPr="00B24052" w:rsidRDefault="00FB0797">
      <w:pPr>
        <w:rPr>
          <w:sz w:val="24"/>
        </w:rPr>
      </w:pPr>
    </w:p>
    <w:p w14:paraId="32A04230" w14:textId="77777777" w:rsidR="00FB0797" w:rsidRPr="00B24052" w:rsidRDefault="00FB0797">
      <w:pPr>
        <w:rPr>
          <w:sz w:val="24"/>
        </w:rPr>
      </w:pPr>
    </w:p>
    <w:p w14:paraId="4917FAC9" w14:textId="77777777" w:rsidR="00FB0797" w:rsidRPr="00B24052" w:rsidRDefault="00FB0797">
      <w:pPr>
        <w:rPr>
          <w:sz w:val="24"/>
        </w:rPr>
      </w:pPr>
    </w:p>
    <w:p w14:paraId="37FCD892" w14:textId="77777777" w:rsidR="00FB0797" w:rsidRPr="00B24052" w:rsidRDefault="00FB0797">
      <w:pPr>
        <w:rPr>
          <w:sz w:val="24"/>
        </w:rPr>
      </w:pPr>
    </w:p>
    <w:p w14:paraId="7A0D33ED" w14:textId="77777777" w:rsidR="00FB0797" w:rsidRPr="00B24052" w:rsidRDefault="00FB0797" w:rsidP="006E25DF">
      <w:pPr>
        <w:ind w:left="5040" w:firstLine="720"/>
        <w:rPr>
          <w:sz w:val="24"/>
        </w:rPr>
      </w:pPr>
      <w:r w:rsidRPr="00B24052">
        <w:rPr>
          <w:sz w:val="24"/>
        </w:rPr>
        <w:t>Approved by:</w:t>
      </w:r>
    </w:p>
    <w:p w14:paraId="678DF199" w14:textId="77777777" w:rsidR="00FB0797" w:rsidRPr="00B24052" w:rsidRDefault="00FB0797">
      <w:pPr>
        <w:rPr>
          <w:sz w:val="24"/>
        </w:rPr>
      </w:pPr>
    </w:p>
    <w:p w14:paraId="4B7A6701" w14:textId="77777777" w:rsidR="00FB0797" w:rsidRPr="00B24052" w:rsidRDefault="00FB0797">
      <w:pPr>
        <w:rPr>
          <w:sz w:val="24"/>
        </w:rPr>
      </w:pPr>
    </w:p>
    <w:p w14:paraId="31CE64D6" w14:textId="77777777" w:rsidR="00FB0797" w:rsidRPr="00B24052" w:rsidRDefault="00FB0797">
      <w:pPr>
        <w:rPr>
          <w:sz w:val="24"/>
        </w:rPr>
      </w:pPr>
      <w:r w:rsidRPr="00B24052">
        <w:rPr>
          <w:sz w:val="24"/>
        </w:rPr>
        <w:t>_______________________</w:t>
      </w:r>
      <w:r w:rsidRPr="00B24052">
        <w:rPr>
          <w:sz w:val="24"/>
        </w:rPr>
        <w:tab/>
      </w:r>
      <w:r w:rsidRPr="00B24052">
        <w:rPr>
          <w:sz w:val="24"/>
        </w:rPr>
        <w:tab/>
      </w:r>
      <w:r w:rsidRPr="00B24052">
        <w:rPr>
          <w:sz w:val="24"/>
        </w:rPr>
        <w:tab/>
      </w:r>
      <w:r w:rsidRPr="00B24052">
        <w:rPr>
          <w:sz w:val="24"/>
        </w:rPr>
        <w:tab/>
      </w:r>
      <w:r w:rsidRPr="00B24052">
        <w:rPr>
          <w:sz w:val="24"/>
        </w:rPr>
        <w:tab/>
        <w:t>_______________________</w:t>
      </w:r>
    </w:p>
    <w:p w14:paraId="55FF268E" w14:textId="77777777" w:rsidR="00FB0797" w:rsidRPr="00B24052" w:rsidRDefault="00783235" w:rsidP="006E25DF">
      <w:pPr>
        <w:rPr>
          <w:sz w:val="24"/>
        </w:rPr>
      </w:pPr>
      <w:r w:rsidRPr="00B24052">
        <w:rPr>
          <w:sz w:val="24"/>
        </w:rPr>
        <w:t>Laura Bishin</w:t>
      </w:r>
      <w:r w:rsidRPr="00B24052">
        <w:rPr>
          <w:sz w:val="24"/>
        </w:rPr>
        <w:tab/>
      </w:r>
      <w:r w:rsidR="00B8317B">
        <w:rPr>
          <w:sz w:val="24"/>
        </w:rPr>
        <w:tab/>
      </w:r>
      <w:r w:rsidR="00B8317B">
        <w:rPr>
          <w:sz w:val="24"/>
        </w:rPr>
        <w:tab/>
      </w:r>
      <w:r w:rsidR="00B8317B">
        <w:rPr>
          <w:sz w:val="24"/>
        </w:rPr>
        <w:tab/>
      </w:r>
      <w:r w:rsidR="00B8317B">
        <w:rPr>
          <w:sz w:val="24"/>
        </w:rPr>
        <w:tab/>
      </w:r>
      <w:r w:rsidR="00B8317B">
        <w:rPr>
          <w:sz w:val="24"/>
        </w:rPr>
        <w:tab/>
      </w:r>
      <w:r w:rsidR="00B8317B">
        <w:rPr>
          <w:sz w:val="24"/>
        </w:rPr>
        <w:tab/>
        <w:t>Toffee</w:t>
      </w:r>
      <w:r w:rsidR="00FB0797" w:rsidRPr="00B24052">
        <w:rPr>
          <w:sz w:val="24"/>
        </w:rPr>
        <w:t xml:space="preserve"> Je</w:t>
      </w:r>
      <w:r w:rsidR="00B8317B">
        <w:rPr>
          <w:sz w:val="24"/>
        </w:rPr>
        <w:t>turian</w:t>
      </w:r>
    </w:p>
    <w:p w14:paraId="3876F3FF" w14:textId="77777777" w:rsidR="00FB0797" w:rsidRPr="00B24052" w:rsidRDefault="00FB0797">
      <w:pPr>
        <w:rPr>
          <w:sz w:val="24"/>
        </w:rPr>
      </w:pPr>
      <w:r w:rsidRPr="00B24052">
        <w:rPr>
          <w:sz w:val="24"/>
        </w:rPr>
        <w:t>Principal Auditor</w:t>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000F22EB">
        <w:rPr>
          <w:sz w:val="24"/>
        </w:rPr>
        <w:t>Assistant</w:t>
      </w:r>
      <w:r w:rsidR="00B8317B">
        <w:rPr>
          <w:sz w:val="24"/>
        </w:rPr>
        <w:t xml:space="preserve"> </w:t>
      </w:r>
      <w:r w:rsidRPr="00B24052">
        <w:rPr>
          <w:sz w:val="24"/>
        </w:rPr>
        <w:t>Director</w:t>
      </w:r>
    </w:p>
    <w:p w14:paraId="467B5261" w14:textId="77777777" w:rsidR="00FB0797" w:rsidRPr="00B24052" w:rsidRDefault="00FB0797">
      <w:pPr>
        <w:rPr>
          <w:sz w:val="24"/>
        </w:rPr>
      </w:pPr>
    </w:p>
    <w:p w14:paraId="04143DCA" w14:textId="77777777" w:rsidR="00FB0797" w:rsidRDefault="00FB0797">
      <w:pPr>
        <w:jc w:val="center"/>
        <w:rPr>
          <w:b/>
          <w:sz w:val="24"/>
        </w:rPr>
      </w:pPr>
    </w:p>
    <w:p w14:paraId="17932D1A" w14:textId="77777777" w:rsidR="00B8317B" w:rsidRDefault="00B8317B">
      <w:pPr>
        <w:jc w:val="center"/>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B24052">
        <w:rPr>
          <w:sz w:val="24"/>
        </w:rPr>
        <w:t>_______________________</w:t>
      </w:r>
    </w:p>
    <w:p w14:paraId="0435F333" w14:textId="77777777" w:rsidR="00B8317B" w:rsidRDefault="00E45FE5">
      <w:pPr>
        <w:jc w:val="center"/>
        <w:rPr>
          <w:sz w:val="24"/>
        </w:rPr>
      </w:pPr>
      <w:r>
        <w:rPr>
          <w:sz w:val="24"/>
        </w:rPr>
        <w:tab/>
      </w:r>
      <w:r>
        <w:rPr>
          <w:sz w:val="24"/>
        </w:rPr>
        <w:tab/>
      </w:r>
      <w:r>
        <w:rPr>
          <w:sz w:val="24"/>
        </w:rPr>
        <w:tab/>
      </w:r>
      <w:r>
        <w:rPr>
          <w:sz w:val="24"/>
        </w:rPr>
        <w:tab/>
      </w:r>
      <w:r>
        <w:rPr>
          <w:sz w:val="24"/>
        </w:rPr>
        <w:tab/>
      </w:r>
      <w:r>
        <w:rPr>
          <w:sz w:val="24"/>
        </w:rPr>
        <w:tab/>
        <w:t xml:space="preserve">   Gregory Moore   </w:t>
      </w:r>
    </w:p>
    <w:p w14:paraId="24BF9A36" w14:textId="77777777" w:rsidR="00B8317B" w:rsidRDefault="00B8317B">
      <w:pPr>
        <w:jc w:val="center"/>
        <w:rPr>
          <w:sz w:val="24"/>
        </w:rPr>
      </w:pPr>
      <w:r>
        <w:rPr>
          <w:sz w:val="24"/>
        </w:rPr>
        <w:tab/>
      </w:r>
      <w:r>
        <w:rPr>
          <w:sz w:val="24"/>
        </w:rPr>
        <w:tab/>
      </w:r>
      <w:r>
        <w:rPr>
          <w:sz w:val="24"/>
        </w:rPr>
        <w:tab/>
      </w:r>
      <w:r>
        <w:rPr>
          <w:sz w:val="24"/>
        </w:rPr>
        <w:tab/>
        <w:t xml:space="preserve"> </w:t>
      </w:r>
      <w:r>
        <w:rPr>
          <w:sz w:val="24"/>
        </w:rPr>
        <w:tab/>
        <w:t xml:space="preserve">   </w:t>
      </w:r>
      <w:r w:rsidRPr="00B24052">
        <w:rPr>
          <w:sz w:val="24"/>
        </w:rPr>
        <w:t>Director</w:t>
      </w:r>
    </w:p>
    <w:p w14:paraId="1D69E0DD" w14:textId="4C1937DC" w:rsidR="00B5215A" w:rsidRDefault="00B8317B">
      <w:pPr>
        <w:jc w:val="center"/>
        <w:rPr>
          <w:b/>
          <w:sz w:val="24"/>
        </w:rPr>
      </w:pPr>
      <w:r>
        <w:rPr>
          <w:sz w:val="24"/>
        </w:rPr>
        <w:tab/>
      </w:r>
      <w:r>
        <w:rPr>
          <w:sz w:val="24"/>
        </w:rPr>
        <w:tab/>
      </w:r>
      <w:r>
        <w:rPr>
          <w:sz w:val="24"/>
        </w:rPr>
        <w:tab/>
      </w:r>
    </w:p>
    <w:p w14:paraId="2CD11AEF" w14:textId="77777777" w:rsidR="00B5215A" w:rsidRDefault="00B5215A">
      <w:pPr>
        <w:overflowPunct/>
        <w:autoSpaceDE/>
        <w:autoSpaceDN/>
        <w:adjustRightInd/>
        <w:textAlignment w:val="auto"/>
        <w:rPr>
          <w:b/>
          <w:sz w:val="24"/>
        </w:rPr>
      </w:pPr>
      <w:r>
        <w:rPr>
          <w:b/>
          <w:sz w:val="24"/>
        </w:rPr>
        <w:br w:type="page"/>
      </w:r>
    </w:p>
    <w:p w14:paraId="3DD0A8A8" w14:textId="01E44253" w:rsidR="00FB0797" w:rsidRPr="00B24052" w:rsidRDefault="00FB0797">
      <w:pPr>
        <w:jc w:val="center"/>
        <w:rPr>
          <w:b/>
          <w:sz w:val="24"/>
        </w:rPr>
      </w:pPr>
      <w:r w:rsidRPr="00B24052">
        <w:rPr>
          <w:b/>
          <w:sz w:val="24"/>
        </w:rPr>
        <w:lastRenderedPageBreak/>
        <w:t>UC RIVERSIDE</w:t>
      </w:r>
    </w:p>
    <w:p w14:paraId="08E311A5" w14:textId="6D19AA41" w:rsidR="00FB0797" w:rsidRPr="00B24052" w:rsidRDefault="00FB0797">
      <w:pPr>
        <w:jc w:val="center"/>
        <w:rPr>
          <w:b/>
          <w:sz w:val="24"/>
        </w:rPr>
      </w:pPr>
      <w:r w:rsidRPr="00B24052">
        <w:rPr>
          <w:b/>
          <w:sz w:val="24"/>
        </w:rPr>
        <w:t>FINANCIAL ANALYTICAL REVIEW</w:t>
      </w:r>
      <w:r w:rsidR="00AE1738">
        <w:rPr>
          <w:b/>
          <w:sz w:val="24"/>
        </w:rPr>
        <w:t xml:space="preserve"> – GENERAL LEDGER</w:t>
      </w:r>
    </w:p>
    <w:p w14:paraId="0A28ADE7" w14:textId="3CF7AC50" w:rsidR="00FB0797" w:rsidRPr="00B24052" w:rsidRDefault="00FB0797">
      <w:pPr>
        <w:jc w:val="center"/>
        <w:rPr>
          <w:b/>
          <w:sz w:val="24"/>
        </w:rPr>
      </w:pPr>
      <w:r w:rsidRPr="00B24052">
        <w:rPr>
          <w:b/>
          <w:sz w:val="24"/>
        </w:rPr>
        <w:t>REPORT R20</w:t>
      </w:r>
      <w:r w:rsidR="006A5F2E">
        <w:rPr>
          <w:b/>
          <w:sz w:val="24"/>
        </w:rPr>
        <w:t>1</w:t>
      </w:r>
      <w:r w:rsidR="00B22757">
        <w:rPr>
          <w:b/>
          <w:sz w:val="24"/>
        </w:rPr>
        <w:t>7</w:t>
      </w:r>
      <w:r w:rsidR="00F905E9">
        <w:rPr>
          <w:b/>
          <w:sz w:val="24"/>
        </w:rPr>
        <w:t>-1</w:t>
      </w:r>
      <w:r w:rsidR="00D058C1">
        <w:rPr>
          <w:b/>
          <w:sz w:val="24"/>
        </w:rPr>
        <w:t>1</w:t>
      </w:r>
      <w:r w:rsidR="00556435">
        <w:rPr>
          <w:b/>
          <w:sz w:val="24"/>
        </w:rPr>
        <w:t>b</w:t>
      </w:r>
    </w:p>
    <w:p w14:paraId="55A42AEB" w14:textId="57756543" w:rsidR="00FB0797" w:rsidRPr="00B24052" w:rsidRDefault="003E75A4">
      <w:pPr>
        <w:jc w:val="center"/>
        <w:rPr>
          <w:b/>
          <w:sz w:val="24"/>
        </w:rPr>
      </w:pPr>
      <w:r>
        <w:rPr>
          <w:b/>
          <w:sz w:val="24"/>
        </w:rPr>
        <w:t>DECEMBER</w:t>
      </w:r>
      <w:r w:rsidR="00FD3921">
        <w:rPr>
          <w:b/>
          <w:sz w:val="24"/>
        </w:rPr>
        <w:t xml:space="preserve"> </w:t>
      </w:r>
      <w:r w:rsidR="00ED5577">
        <w:rPr>
          <w:b/>
          <w:sz w:val="24"/>
        </w:rPr>
        <w:t>2018</w:t>
      </w:r>
    </w:p>
    <w:p w14:paraId="160F5576" w14:textId="77777777" w:rsidR="00FB0797" w:rsidRPr="00B24052" w:rsidRDefault="00FB0797">
      <w:pPr>
        <w:rPr>
          <w:b/>
          <w:sz w:val="24"/>
        </w:rPr>
      </w:pPr>
    </w:p>
    <w:p w14:paraId="654E4C68" w14:textId="77777777" w:rsidR="00FB0797" w:rsidRPr="00B24052" w:rsidRDefault="00FB0797">
      <w:pPr>
        <w:rPr>
          <w:b/>
          <w:sz w:val="24"/>
        </w:rPr>
      </w:pPr>
      <w:r w:rsidRPr="00B24052">
        <w:rPr>
          <w:b/>
          <w:sz w:val="24"/>
        </w:rPr>
        <w:t>I.</w:t>
      </w:r>
      <w:r w:rsidRPr="00B24052">
        <w:rPr>
          <w:b/>
          <w:sz w:val="24"/>
        </w:rPr>
        <w:tab/>
      </w:r>
      <w:r w:rsidRPr="00B24052">
        <w:rPr>
          <w:b/>
          <w:sz w:val="24"/>
          <w:u w:val="single"/>
        </w:rPr>
        <w:t>MANAGEMENT SUMMARY</w:t>
      </w:r>
    </w:p>
    <w:p w14:paraId="07D628FF" w14:textId="77777777" w:rsidR="00FB0797" w:rsidRPr="00B24052" w:rsidRDefault="00FB0797">
      <w:pPr>
        <w:rPr>
          <w:sz w:val="24"/>
        </w:rPr>
      </w:pPr>
    </w:p>
    <w:p w14:paraId="25EB34DB" w14:textId="031AF52A" w:rsidR="00E651B5" w:rsidRDefault="00FB0797">
      <w:pPr>
        <w:ind w:left="720"/>
        <w:rPr>
          <w:sz w:val="24"/>
        </w:rPr>
      </w:pPr>
      <w:r w:rsidRPr="00B24052">
        <w:rPr>
          <w:sz w:val="24"/>
        </w:rPr>
        <w:t xml:space="preserve">Based upon the results of work performed </w:t>
      </w:r>
      <w:r w:rsidR="008D5E27">
        <w:rPr>
          <w:sz w:val="24"/>
        </w:rPr>
        <w:t>within the scope of the review,</w:t>
      </w:r>
      <w:r w:rsidRPr="00B24052">
        <w:rPr>
          <w:sz w:val="24"/>
        </w:rPr>
        <w:t xml:space="preserve"> we detect</w:t>
      </w:r>
      <w:r w:rsidR="00EC42B4">
        <w:rPr>
          <w:sz w:val="24"/>
        </w:rPr>
        <w:t xml:space="preserve">ed </w:t>
      </w:r>
      <w:r w:rsidR="00912D73">
        <w:rPr>
          <w:sz w:val="24"/>
        </w:rPr>
        <w:t>one</w:t>
      </w:r>
      <w:r w:rsidRPr="00B24052">
        <w:rPr>
          <w:sz w:val="24"/>
        </w:rPr>
        <w:t xml:space="preserve"> </w:t>
      </w:r>
      <w:r w:rsidR="008D5E27">
        <w:rPr>
          <w:sz w:val="24"/>
        </w:rPr>
        <w:t xml:space="preserve">significant variance or </w:t>
      </w:r>
      <w:r w:rsidRPr="00B24052">
        <w:rPr>
          <w:sz w:val="24"/>
        </w:rPr>
        <w:t>unusual trend in revenue</w:t>
      </w:r>
      <w:r w:rsidR="00B8317B">
        <w:rPr>
          <w:sz w:val="24"/>
        </w:rPr>
        <w:t>s</w:t>
      </w:r>
      <w:r w:rsidRPr="00B24052">
        <w:rPr>
          <w:sz w:val="24"/>
        </w:rPr>
        <w:t xml:space="preserve"> and expenditures that </w:t>
      </w:r>
      <w:r w:rsidR="00EA6D47">
        <w:rPr>
          <w:sz w:val="24"/>
        </w:rPr>
        <w:t>was the result of an improper accounting treatment</w:t>
      </w:r>
      <w:r w:rsidR="00EC42B4">
        <w:rPr>
          <w:sz w:val="24"/>
        </w:rPr>
        <w:t xml:space="preserve"> (Observation III.A)</w:t>
      </w:r>
      <w:r w:rsidRPr="00B24052">
        <w:rPr>
          <w:sz w:val="24"/>
        </w:rPr>
        <w:t>.</w:t>
      </w:r>
      <w:r w:rsidR="008D5E27" w:rsidRPr="008D5E27">
        <w:rPr>
          <w:sz w:val="24"/>
        </w:rPr>
        <w:t xml:space="preserve"> </w:t>
      </w:r>
    </w:p>
    <w:p w14:paraId="66952B6C" w14:textId="77777777" w:rsidR="00AE1738" w:rsidRDefault="00AE1738">
      <w:pPr>
        <w:ind w:left="720"/>
        <w:rPr>
          <w:sz w:val="24"/>
        </w:rPr>
      </w:pPr>
    </w:p>
    <w:p w14:paraId="75B1F150" w14:textId="76C92074" w:rsidR="00567289" w:rsidRDefault="00EC42B4" w:rsidP="00D55EE3">
      <w:pPr>
        <w:ind w:left="720"/>
        <w:rPr>
          <w:sz w:val="24"/>
          <w:szCs w:val="24"/>
        </w:rPr>
      </w:pPr>
      <w:r>
        <w:rPr>
          <w:sz w:val="24"/>
          <w:szCs w:val="24"/>
        </w:rPr>
        <w:t>Also</w:t>
      </w:r>
      <w:r w:rsidR="006C63D3">
        <w:rPr>
          <w:sz w:val="24"/>
          <w:szCs w:val="24"/>
        </w:rPr>
        <w:t>, w</w:t>
      </w:r>
      <w:r w:rsidR="00000898" w:rsidRPr="00D55EE3">
        <w:rPr>
          <w:sz w:val="24"/>
          <w:szCs w:val="24"/>
        </w:rPr>
        <w:t xml:space="preserve">e observed </w:t>
      </w:r>
      <w:r w:rsidR="00D058C1">
        <w:rPr>
          <w:sz w:val="24"/>
          <w:szCs w:val="24"/>
        </w:rPr>
        <w:t>several</w:t>
      </w:r>
      <w:r w:rsidR="00567289">
        <w:rPr>
          <w:sz w:val="24"/>
          <w:szCs w:val="24"/>
        </w:rPr>
        <w:t xml:space="preserve"> a</w:t>
      </w:r>
      <w:r w:rsidR="00000898" w:rsidRPr="00D55EE3">
        <w:rPr>
          <w:sz w:val="24"/>
          <w:szCs w:val="24"/>
        </w:rPr>
        <w:t>rea</w:t>
      </w:r>
      <w:r w:rsidR="00567289">
        <w:rPr>
          <w:sz w:val="24"/>
          <w:szCs w:val="24"/>
        </w:rPr>
        <w:t xml:space="preserve">s </w:t>
      </w:r>
      <w:r w:rsidR="008A6CAF">
        <w:rPr>
          <w:sz w:val="24"/>
          <w:szCs w:val="24"/>
        </w:rPr>
        <w:t xml:space="preserve">of opportunity to </w:t>
      </w:r>
      <w:r w:rsidR="006C63D3">
        <w:rPr>
          <w:sz w:val="24"/>
          <w:szCs w:val="24"/>
        </w:rPr>
        <w:t>improve efficiency/</w:t>
      </w:r>
      <w:r w:rsidR="00EA6D47">
        <w:rPr>
          <w:sz w:val="24"/>
          <w:szCs w:val="24"/>
        </w:rPr>
        <w:t xml:space="preserve"> </w:t>
      </w:r>
      <w:r w:rsidR="006C63D3">
        <w:rPr>
          <w:sz w:val="24"/>
          <w:szCs w:val="24"/>
        </w:rPr>
        <w:t>effectiveness, strengthen internal controls, and/or effect compliance with University policy</w:t>
      </w:r>
      <w:r w:rsidR="00567289">
        <w:rPr>
          <w:sz w:val="24"/>
          <w:szCs w:val="24"/>
        </w:rPr>
        <w:t xml:space="preserve">: </w:t>
      </w:r>
    </w:p>
    <w:p w14:paraId="511756B1" w14:textId="77777777" w:rsidR="00CB7F0A" w:rsidRDefault="00CB7F0A" w:rsidP="00D55EE3">
      <w:pPr>
        <w:ind w:left="720"/>
        <w:rPr>
          <w:sz w:val="24"/>
          <w:szCs w:val="24"/>
        </w:rPr>
      </w:pPr>
    </w:p>
    <w:p w14:paraId="2468CBB4" w14:textId="5F32F11C" w:rsidR="00D058C1" w:rsidRDefault="00AA1D2C" w:rsidP="003E75A4">
      <w:pPr>
        <w:pStyle w:val="ListParagraph"/>
        <w:numPr>
          <w:ilvl w:val="0"/>
          <w:numId w:val="10"/>
        </w:numPr>
        <w:ind w:right="360"/>
        <w:rPr>
          <w:bCs/>
          <w:sz w:val="24"/>
        </w:rPr>
      </w:pPr>
      <w:r>
        <w:rPr>
          <w:bCs/>
          <w:sz w:val="24"/>
        </w:rPr>
        <w:t>Contract</w:t>
      </w:r>
      <w:r w:rsidR="00556435">
        <w:rPr>
          <w:bCs/>
          <w:sz w:val="24"/>
        </w:rPr>
        <w:t>s</w:t>
      </w:r>
      <w:r>
        <w:rPr>
          <w:bCs/>
          <w:sz w:val="24"/>
        </w:rPr>
        <w:t xml:space="preserve"> and Grant</w:t>
      </w:r>
      <w:r w:rsidR="00556435">
        <w:rPr>
          <w:bCs/>
          <w:sz w:val="24"/>
        </w:rPr>
        <w:t xml:space="preserve">s (C&amp;G) </w:t>
      </w:r>
      <w:r w:rsidR="003E75A4">
        <w:rPr>
          <w:bCs/>
          <w:sz w:val="24"/>
        </w:rPr>
        <w:t>d</w:t>
      </w:r>
      <w:r w:rsidR="00556435">
        <w:rPr>
          <w:bCs/>
          <w:sz w:val="24"/>
        </w:rPr>
        <w:t>eficits</w:t>
      </w:r>
      <w:r w:rsidR="00EA6D47">
        <w:rPr>
          <w:bCs/>
          <w:sz w:val="24"/>
        </w:rPr>
        <w:t xml:space="preserve"> continue to remain high</w:t>
      </w:r>
      <w:r>
        <w:rPr>
          <w:bCs/>
          <w:sz w:val="24"/>
        </w:rPr>
        <w:t xml:space="preserve"> </w:t>
      </w:r>
      <w:r w:rsidR="00D058C1">
        <w:rPr>
          <w:bCs/>
          <w:sz w:val="24"/>
        </w:rPr>
        <w:t>(Observation III.C)</w:t>
      </w:r>
    </w:p>
    <w:p w14:paraId="45CA2F5F" w14:textId="3304291A" w:rsidR="00D058C1" w:rsidRDefault="003E75A4" w:rsidP="003E75A4">
      <w:pPr>
        <w:pStyle w:val="ListParagraph"/>
        <w:numPr>
          <w:ilvl w:val="0"/>
          <w:numId w:val="10"/>
        </w:numPr>
        <w:ind w:right="360"/>
        <w:rPr>
          <w:bCs/>
          <w:sz w:val="24"/>
        </w:rPr>
      </w:pPr>
      <w:r>
        <w:rPr>
          <w:bCs/>
          <w:sz w:val="24"/>
        </w:rPr>
        <w:t xml:space="preserve">The </w:t>
      </w:r>
      <w:r w:rsidR="00AA1D2C">
        <w:rPr>
          <w:bCs/>
          <w:sz w:val="24"/>
        </w:rPr>
        <w:t>Accrual</w:t>
      </w:r>
      <w:r w:rsidR="00556435">
        <w:rPr>
          <w:bCs/>
          <w:sz w:val="24"/>
        </w:rPr>
        <w:t>s</w:t>
      </w:r>
      <w:r w:rsidR="00AA1D2C">
        <w:rPr>
          <w:bCs/>
          <w:sz w:val="24"/>
        </w:rPr>
        <w:t xml:space="preserve"> and Year End Clos</w:t>
      </w:r>
      <w:r w:rsidR="00AE1738">
        <w:rPr>
          <w:bCs/>
          <w:sz w:val="24"/>
        </w:rPr>
        <w:t>ing</w:t>
      </w:r>
      <w:r w:rsidR="00AA1D2C">
        <w:rPr>
          <w:bCs/>
          <w:sz w:val="24"/>
        </w:rPr>
        <w:t xml:space="preserve"> Process</w:t>
      </w:r>
      <w:r w:rsidR="00EA6D47">
        <w:rPr>
          <w:bCs/>
          <w:sz w:val="24"/>
        </w:rPr>
        <w:t xml:space="preserve"> is overly complicated and does not always take advantage of efficiency opportunities </w:t>
      </w:r>
      <w:r w:rsidR="00D058C1">
        <w:rPr>
          <w:bCs/>
          <w:sz w:val="24"/>
        </w:rPr>
        <w:t>(Observation III.D)</w:t>
      </w:r>
    </w:p>
    <w:p w14:paraId="1AEC3044" w14:textId="2611CA4D" w:rsidR="00D058C1" w:rsidRDefault="00AA1D2C" w:rsidP="003E75A4">
      <w:pPr>
        <w:pStyle w:val="ListParagraph"/>
        <w:numPr>
          <w:ilvl w:val="0"/>
          <w:numId w:val="10"/>
        </w:numPr>
        <w:ind w:right="360"/>
        <w:rPr>
          <w:bCs/>
          <w:sz w:val="24"/>
        </w:rPr>
      </w:pPr>
      <w:r>
        <w:rPr>
          <w:bCs/>
          <w:sz w:val="24"/>
        </w:rPr>
        <w:t>Payroll Cost Transfer</w:t>
      </w:r>
      <w:r w:rsidR="00EA6D47">
        <w:rPr>
          <w:bCs/>
          <w:sz w:val="24"/>
        </w:rPr>
        <w:t xml:space="preserve"> rates continue to remain high, which pose risk</w:t>
      </w:r>
      <w:r w:rsidR="003E75A4">
        <w:rPr>
          <w:bCs/>
          <w:sz w:val="24"/>
        </w:rPr>
        <w:t>s</w:t>
      </w:r>
      <w:r w:rsidR="00EA6D47">
        <w:rPr>
          <w:bCs/>
          <w:sz w:val="24"/>
        </w:rPr>
        <w:t xml:space="preserve"> going into a new payroll system</w:t>
      </w:r>
      <w:r>
        <w:rPr>
          <w:bCs/>
          <w:sz w:val="24"/>
        </w:rPr>
        <w:t xml:space="preserve"> </w:t>
      </w:r>
      <w:r w:rsidR="00D058C1">
        <w:rPr>
          <w:bCs/>
          <w:sz w:val="24"/>
        </w:rPr>
        <w:t>(Observation III.E)</w:t>
      </w:r>
    </w:p>
    <w:p w14:paraId="766A8D26" w14:textId="77777777" w:rsidR="00554EC7" w:rsidRPr="00813BD0" w:rsidRDefault="00554EC7" w:rsidP="0029612C">
      <w:pPr>
        <w:ind w:left="1080"/>
        <w:rPr>
          <w:bCs/>
          <w:sz w:val="24"/>
        </w:rPr>
      </w:pPr>
    </w:p>
    <w:p w14:paraId="3CAB4586" w14:textId="72202204" w:rsidR="00A27E96" w:rsidRDefault="00AE1738" w:rsidP="00E651B5">
      <w:pPr>
        <w:ind w:left="720"/>
        <w:rPr>
          <w:sz w:val="24"/>
        </w:rPr>
      </w:pPr>
      <w:r w:rsidRPr="00ED462E">
        <w:rPr>
          <w:sz w:val="24"/>
        </w:rPr>
        <w:t xml:space="preserve">These and other items are discussed below. </w:t>
      </w:r>
      <w:r>
        <w:rPr>
          <w:sz w:val="24"/>
        </w:rPr>
        <w:t xml:space="preserve"> </w:t>
      </w:r>
      <w:r w:rsidR="00E651B5" w:rsidRPr="00B24052">
        <w:rPr>
          <w:sz w:val="24"/>
        </w:rPr>
        <w:t xml:space="preserve">Minor items not of the magnitude to warrant inclusion in this report were discussed verbally with management. </w:t>
      </w:r>
    </w:p>
    <w:p w14:paraId="70B5EE87" w14:textId="1196EFA3" w:rsidR="00E651B5" w:rsidRDefault="00E651B5" w:rsidP="00E651B5">
      <w:pPr>
        <w:ind w:left="720"/>
        <w:rPr>
          <w:sz w:val="24"/>
        </w:rPr>
      </w:pPr>
      <w:r w:rsidRPr="00B24052">
        <w:rPr>
          <w:sz w:val="24"/>
        </w:rPr>
        <w:t xml:space="preserve"> </w:t>
      </w:r>
    </w:p>
    <w:p w14:paraId="0E8C9779" w14:textId="77777777" w:rsidR="00FB0797" w:rsidRPr="00B24052" w:rsidRDefault="00FB0797">
      <w:pPr>
        <w:rPr>
          <w:sz w:val="24"/>
        </w:rPr>
      </w:pPr>
      <w:r w:rsidRPr="00B24052">
        <w:rPr>
          <w:sz w:val="24"/>
        </w:rPr>
        <w:tab/>
      </w:r>
    </w:p>
    <w:p w14:paraId="429BBC1F" w14:textId="77777777" w:rsidR="00FB0797" w:rsidRPr="00B24052" w:rsidRDefault="00FB0797">
      <w:pPr>
        <w:rPr>
          <w:b/>
          <w:sz w:val="24"/>
        </w:rPr>
      </w:pPr>
      <w:r w:rsidRPr="00B24052">
        <w:rPr>
          <w:b/>
          <w:sz w:val="24"/>
        </w:rPr>
        <w:t>II.</w:t>
      </w:r>
      <w:r w:rsidRPr="00B24052">
        <w:rPr>
          <w:b/>
          <w:sz w:val="24"/>
        </w:rPr>
        <w:tab/>
      </w:r>
      <w:r w:rsidRPr="00B24052">
        <w:rPr>
          <w:b/>
          <w:sz w:val="24"/>
          <w:u w:val="single"/>
        </w:rPr>
        <w:t>INTRODUCTION</w:t>
      </w:r>
    </w:p>
    <w:p w14:paraId="6B8CCFD2" w14:textId="77777777" w:rsidR="00FB0797" w:rsidRPr="00B24052" w:rsidRDefault="00FB0797">
      <w:pPr>
        <w:rPr>
          <w:sz w:val="24"/>
        </w:rPr>
      </w:pPr>
    </w:p>
    <w:p w14:paraId="140D8DF9" w14:textId="77777777" w:rsidR="00FB0797" w:rsidRPr="00B24052" w:rsidRDefault="00FB0797">
      <w:pPr>
        <w:rPr>
          <w:sz w:val="24"/>
        </w:rPr>
      </w:pPr>
      <w:r w:rsidRPr="00B24052">
        <w:rPr>
          <w:sz w:val="24"/>
        </w:rPr>
        <w:tab/>
      </w:r>
      <w:r w:rsidRPr="00B24052">
        <w:rPr>
          <w:b/>
          <w:sz w:val="24"/>
        </w:rPr>
        <w:t>A.</w:t>
      </w:r>
      <w:r w:rsidRPr="00B24052">
        <w:rPr>
          <w:b/>
          <w:sz w:val="24"/>
        </w:rPr>
        <w:tab/>
      </w:r>
      <w:r w:rsidRPr="00B24052">
        <w:rPr>
          <w:b/>
          <w:sz w:val="24"/>
          <w:u w:val="single"/>
        </w:rPr>
        <w:t>PURPOSE</w:t>
      </w:r>
    </w:p>
    <w:p w14:paraId="670C4579" w14:textId="77777777" w:rsidR="00FB0797" w:rsidRPr="00B24052" w:rsidRDefault="00FB0797">
      <w:pPr>
        <w:rPr>
          <w:sz w:val="24"/>
        </w:rPr>
      </w:pPr>
    </w:p>
    <w:p w14:paraId="5CD21FC0" w14:textId="2EE2EDF2" w:rsidR="00FB0797" w:rsidRPr="00B24052" w:rsidRDefault="00FB0797">
      <w:pPr>
        <w:pStyle w:val="BodyTextIndent2"/>
      </w:pPr>
      <w:r w:rsidRPr="00B24052">
        <w:t>U</w:t>
      </w:r>
      <w:r w:rsidR="00F25D52">
        <w:t xml:space="preserve">niversity of California, </w:t>
      </w:r>
      <w:r w:rsidRPr="00B24052">
        <w:t>Riverside</w:t>
      </w:r>
      <w:r w:rsidR="00F25D52">
        <w:t xml:space="preserve"> (UCR)</w:t>
      </w:r>
      <w:r w:rsidRPr="00B24052">
        <w:t xml:space="preserve"> Audit &amp; Advisory Services</w:t>
      </w:r>
      <w:r w:rsidR="008D5E27">
        <w:t xml:space="preserve"> (A&amp;AS)</w:t>
      </w:r>
      <w:r w:rsidRPr="00B24052">
        <w:t>, as part of its Audit Plan, performed an analysis and evaluation of the UCR campus financial data</w:t>
      </w:r>
      <w:r w:rsidR="00AE1738">
        <w:t>, specifically General Ledger</w:t>
      </w:r>
      <w:r w:rsidR="00556435">
        <w:t xml:space="preserve"> (GL)</w:t>
      </w:r>
      <w:r w:rsidR="00AE1738">
        <w:t xml:space="preserve"> account</w:t>
      </w:r>
      <w:r w:rsidR="00556435">
        <w:t>s, fund deficits and surpluses (including C&amp;G),</w:t>
      </w:r>
      <w:r w:rsidR="00AE1738">
        <w:t xml:space="preserve"> and payroll cost transfers</w:t>
      </w:r>
      <w:r w:rsidRPr="00B24052">
        <w:t>.  Th</w:t>
      </w:r>
      <w:r w:rsidR="00B8317B">
        <w:t>is Financial Analytical Review included</w:t>
      </w:r>
      <w:r w:rsidRPr="00B24052">
        <w:t xml:space="preserve"> procedures to study and compare relationships among data on a campus-wide basis in order to identify unexpected fluctuations, </w:t>
      </w:r>
      <w:r w:rsidR="00B8317B">
        <w:t xml:space="preserve">trends, discrepancies or </w:t>
      </w:r>
      <w:r w:rsidR="00B95C26">
        <w:t>activit</w:t>
      </w:r>
      <w:r w:rsidR="00DF14CF">
        <w:t>ies</w:t>
      </w:r>
      <w:r w:rsidR="00B8317B">
        <w:t xml:space="preserve">, </w:t>
      </w:r>
      <w:r w:rsidRPr="00B24052">
        <w:t xml:space="preserve">the absence of expected </w:t>
      </w:r>
      <w:r w:rsidR="007C0D53" w:rsidRPr="00B24052">
        <w:t>fluctuations,</w:t>
      </w:r>
      <w:r w:rsidRPr="00B24052">
        <w:t xml:space="preserve"> </w:t>
      </w:r>
      <w:r w:rsidR="00B95C26">
        <w:t>trends or activit</w:t>
      </w:r>
      <w:r w:rsidR="00DF14CF">
        <w:t>ies</w:t>
      </w:r>
      <w:r w:rsidR="00B8317B">
        <w:t xml:space="preserve">, </w:t>
      </w:r>
      <w:r w:rsidRPr="00B24052">
        <w:t xml:space="preserve">and other unusual items.  </w:t>
      </w:r>
    </w:p>
    <w:p w14:paraId="0418FF11" w14:textId="77777777" w:rsidR="00FB0797" w:rsidRPr="00B24052" w:rsidRDefault="00FB0797">
      <w:pPr>
        <w:ind w:left="1440"/>
        <w:rPr>
          <w:sz w:val="24"/>
        </w:rPr>
      </w:pPr>
    </w:p>
    <w:p w14:paraId="374764AC" w14:textId="5DF75E97" w:rsidR="00B5215A" w:rsidRDefault="00AE1738">
      <w:pPr>
        <w:ind w:left="1440"/>
        <w:rPr>
          <w:sz w:val="24"/>
        </w:rPr>
      </w:pPr>
      <w:bookmarkStart w:id="3" w:name="OLE_LINK1"/>
      <w:bookmarkStart w:id="4" w:name="OLE_LINK2"/>
      <w:r>
        <w:rPr>
          <w:sz w:val="24"/>
        </w:rPr>
        <w:t>We also</w:t>
      </w:r>
      <w:r w:rsidR="00FB0797" w:rsidRPr="00B24052">
        <w:rPr>
          <w:sz w:val="24"/>
        </w:rPr>
        <w:t xml:space="preserve"> examine</w:t>
      </w:r>
      <w:r>
        <w:rPr>
          <w:sz w:val="24"/>
        </w:rPr>
        <w:t>d</w:t>
      </w:r>
      <w:r w:rsidR="00FB0797" w:rsidRPr="00B24052">
        <w:rPr>
          <w:sz w:val="24"/>
        </w:rPr>
        <w:t xml:space="preserve"> campus financial data to determine if activities in </w:t>
      </w:r>
      <w:r w:rsidR="00B8317B">
        <w:rPr>
          <w:sz w:val="24"/>
        </w:rPr>
        <w:t xml:space="preserve">selected </w:t>
      </w:r>
      <w:r w:rsidR="00FB0797" w:rsidRPr="00B24052">
        <w:rPr>
          <w:sz w:val="24"/>
        </w:rPr>
        <w:t xml:space="preserve">areas included significant errors </w:t>
      </w:r>
      <w:r w:rsidR="00E77D60" w:rsidRPr="00B24052">
        <w:rPr>
          <w:sz w:val="24"/>
        </w:rPr>
        <w:t>or questionable</w:t>
      </w:r>
      <w:r w:rsidR="00FB0797" w:rsidRPr="00B24052">
        <w:rPr>
          <w:sz w:val="24"/>
        </w:rPr>
        <w:t xml:space="preserve"> transactions that warranted further </w:t>
      </w:r>
      <w:r w:rsidR="006E45C5">
        <w:rPr>
          <w:sz w:val="24"/>
        </w:rPr>
        <w:t>review</w:t>
      </w:r>
      <w:bookmarkEnd w:id="3"/>
      <w:bookmarkEnd w:id="4"/>
      <w:r w:rsidR="00FB0797" w:rsidRPr="00B24052">
        <w:rPr>
          <w:sz w:val="24"/>
        </w:rPr>
        <w:t xml:space="preserve">.  </w:t>
      </w:r>
    </w:p>
    <w:p w14:paraId="75F4ADA7" w14:textId="0347D8EC" w:rsidR="00556435" w:rsidRDefault="00556435">
      <w:pPr>
        <w:ind w:left="1440"/>
        <w:rPr>
          <w:sz w:val="24"/>
        </w:rPr>
      </w:pPr>
    </w:p>
    <w:p w14:paraId="30E5EE5D" w14:textId="6EC16572" w:rsidR="00556435" w:rsidRDefault="00556435">
      <w:pPr>
        <w:ind w:left="1440"/>
        <w:rPr>
          <w:sz w:val="24"/>
        </w:rPr>
        <w:sectPr w:rsidR="00556435" w:rsidSect="00036150">
          <w:headerReference w:type="even" r:id="rId8"/>
          <w:headerReference w:type="default" r:id="rId9"/>
          <w:headerReference w:type="first" r:id="rId10"/>
          <w:pgSz w:w="12240" w:h="15840"/>
          <w:pgMar w:top="1260" w:right="1710" w:bottom="990" w:left="1800" w:header="720" w:footer="720" w:gutter="0"/>
          <w:pgNumType w:start="2"/>
          <w:cols w:space="720"/>
        </w:sectPr>
      </w:pPr>
      <w:r>
        <w:rPr>
          <w:sz w:val="24"/>
        </w:rPr>
        <w:t xml:space="preserve">In addition, we reviewed the year-end Accrual and Closing process to determine compliance with applicable policy and identify opportunities to enhance efficiency.  </w:t>
      </w:r>
    </w:p>
    <w:p w14:paraId="176BAD9A" w14:textId="77777777" w:rsidR="00313EFD" w:rsidRPr="00B24052" w:rsidRDefault="00313EFD" w:rsidP="00BF127B">
      <w:pPr>
        <w:ind w:left="720"/>
        <w:rPr>
          <w:sz w:val="24"/>
        </w:rPr>
      </w:pPr>
      <w:r w:rsidRPr="00B24052">
        <w:rPr>
          <w:b/>
          <w:sz w:val="24"/>
        </w:rPr>
        <w:t>B.</w:t>
      </w:r>
      <w:r w:rsidRPr="00B24052">
        <w:rPr>
          <w:b/>
          <w:sz w:val="24"/>
        </w:rPr>
        <w:tab/>
      </w:r>
      <w:r w:rsidRPr="00B24052">
        <w:rPr>
          <w:b/>
          <w:sz w:val="24"/>
          <w:u w:val="single"/>
        </w:rPr>
        <w:t>BACKGROUND</w:t>
      </w:r>
    </w:p>
    <w:p w14:paraId="18EFBD32" w14:textId="77777777" w:rsidR="00313EFD" w:rsidRPr="00B24052" w:rsidRDefault="00313EFD" w:rsidP="00313EFD">
      <w:pPr>
        <w:rPr>
          <w:sz w:val="24"/>
        </w:rPr>
      </w:pPr>
    </w:p>
    <w:p w14:paraId="07DC23FC" w14:textId="0C6587C0" w:rsidR="00AE1738" w:rsidRDefault="00AE1738" w:rsidP="00AE1738">
      <w:pPr>
        <w:ind w:left="1440"/>
        <w:rPr>
          <w:sz w:val="24"/>
        </w:rPr>
      </w:pPr>
      <w:r>
        <w:rPr>
          <w:sz w:val="24"/>
        </w:rPr>
        <w:t xml:space="preserve">UCR utilizes PeopleSoft’s Financials and Supply Chain Management (FSCM) system, a Tier 1 Enterprise Resource Planning (ERP) solution, for General Ledger, Accounts Payable and some Purchasing functions. </w:t>
      </w:r>
      <w:r w:rsidR="0005757B">
        <w:rPr>
          <w:sz w:val="24"/>
        </w:rPr>
        <w:t>At the time of our review, p</w:t>
      </w:r>
      <w:r>
        <w:rPr>
          <w:sz w:val="24"/>
        </w:rPr>
        <w:t xml:space="preserve">ayroll </w:t>
      </w:r>
      <w:r w:rsidR="0005757B">
        <w:rPr>
          <w:sz w:val="24"/>
        </w:rPr>
        <w:t>was</w:t>
      </w:r>
      <w:r>
        <w:rPr>
          <w:sz w:val="24"/>
        </w:rPr>
        <w:t xml:space="preserve"> being run on a legacy Mainframe system called </w:t>
      </w:r>
      <w:r w:rsidR="00556435">
        <w:rPr>
          <w:sz w:val="24"/>
        </w:rPr>
        <w:t>Payroll and Personnel System (</w:t>
      </w:r>
      <w:r>
        <w:rPr>
          <w:sz w:val="24"/>
        </w:rPr>
        <w:t>PPS</w:t>
      </w:r>
      <w:r w:rsidR="00556435">
        <w:rPr>
          <w:sz w:val="24"/>
        </w:rPr>
        <w:t>)</w:t>
      </w:r>
      <w:r w:rsidR="0005757B">
        <w:rPr>
          <w:sz w:val="24"/>
        </w:rPr>
        <w:t xml:space="preserve">. It </w:t>
      </w:r>
      <w:r>
        <w:rPr>
          <w:sz w:val="24"/>
        </w:rPr>
        <w:t xml:space="preserve">transitioned </w:t>
      </w:r>
      <w:r w:rsidR="0005757B">
        <w:rPr>
          <w:sz w:val="24"/>
        </w:rPr>
        <w:t xml:space="preserve">in December 2017 </w:t>
      </w:r>
      <w:r>
        <w:rPr>
          <w:sz w:val="24"/>
        </w:rPr>
        <w:t xml:space="preserve">to PeopleSoft as part of a UC wide initiative called UCPath.   </w:t>
      </w:r>
    </w:p>
    <w:p w14:paraId="235D3511" w14:textId="77777777" w:rsidR="00AE1738" w:rsidRDefault="00AE1738" w:rsidP="00AE1738">
      <w:pPr>
        <w:ind w:left="1440"/>
        <w:rPr>
          <w:sz w:val="24"/>
        </w:rPr>
      </w:pPr>
    </w:p>
    <w:p w14:paraId="49C9A1B2" w14:textId="77777777" w:rsidR="00AE1738" w:rsidRDefault="00AE1738" w:rsidP="00AE1738">
      <w:pPr>
        <w:ind w:left="1440"/>
        <w:rPr>
          <w:sz w:val="24"/>
        </w:rPr>
      </w:pPr>
      <w:r>
        <w:rPr>
          <w:sz w:val="24"/>
        </w:rPr>
        <w:t>In past years, the Financial Analytic Review covered additional areas (e.g. General Ledger, Asset Management) in a single consolidated report.  This year, A&amp;AS separated the Analytic Review into reports by area as follows:</w:t>
      </w:r>
    </w:p>
    <w:p w14:paraId="574CFF4E" w14:textId="77777777" w:rsidR="00AE1738" w:rsidRDefault="00AE1738" w:rsidP="00AE1738">
      <w:pPr>
        <w:ind w:left="1440"/>
        <w:rPr>
          <w:sz w:val="24"/>
        </w:rPr>
      </w:pPr>
    </w:p>
    <w:p w14:paraId="3FEB44C7" w14:textId="77777777" w:rsidR="00AE1738" w:rsidRDefault="00AE1738" w:rsidP="00AE1738">
      <w:pPr>
        <w:pStyle w:val="ListParagraph"/>
        <w:numPr>
          <w:ilvl w:val="0"/>
          <w:numId w:val="49"/>
        </w:numPr>
        <w:rPr>
          <w:sz w:val="24"/>
        </w:rPr>
      </w:pPr>
      <w:r>
        <w:rPr>
          <w:sz w:val="24"/>
        </w:rPr>
        <w:t>Disbursements (R2017-11a)</w:t>
      </w:r>
    </w:p>
    <w:p w14:paraId="3FBA6048" w14:textId="77777777" w:rsidR="00AE1738" w:rsidRDefault="00AE1738" w:rsidP="00AE1738">
      <w:pPr>
        <w:pStyle w:val="ListParagraph"/>
        <w:numPr>
          <w:ilvl w:val="0"/>
          <w:numId w:val="49"/>
        </w:numPr>
        <w:rPr>
          <w:sz w:val="24"/>
        </w:rPr>
      </w:pPr>
      <w:r w:rsidRPr="0062007F">
        <w:rPr>
          <w:sz w:val="24"/>
        </w:rPr>
        <w:t xml:space="preserve">General Ledger </w:t>
      </w:r>
      <w:r>
        <w:rPr>
          <w:sz w:val="24"/>
        </w:rPr>
        <w:t>(R2017-11b)</w:t>
      </w:r>
    </w:p>
    <w:p w14:paraId="6C0C89C3" w14:textId="77777777" w:rsidR="00AE1738" w:rsidRDefault="00AE1738" w:rsidP="00AE1738">
      <w:pPr>
        <w:pStyle w:val="ListParagraph"/>
        <w:numPr>
          <w:ilvl w:val="0"/>
          <w:numId w:val="49"/>
        </w:numPr>
        <w:rPr>
          <w:sz w:val="24"/>
        </w:rPr>
      </w:pPr>
      <w:r w:rsidRPr="0062007F">
        <w:rPr>
          <w:sz w:val="24"/>
        </w:rPr>
        <w:t>Low Value/Theft Sensitive Computing Equipment</w:t>
      </w:r>
      <w:r>
        <w:rPr>
          <w:sz w:val="24"/>
        </w:rPr>
        <w:t xml:space="preserve"> (R2017-11c)</w:t>
      </w:r>
    </w:p>
    <w:p w14:paraId="380DF55A" w14:textId="77777777" w:rsidR="00AE1738" w:rsidRPr="0062007F" w:rsidRDefault="00AE1738" w:rsidP="00AE1738">
      <w:pPr>
        <w:pStyle w:val="ListParagraph"/>
        <w:numPr>
          <w:ilvl w:val="0"/>
          <w:numId w:val="49"/>
        </w:numPr>
        <w:rPr>
          <w:sz w:val="24"/>
        </w:rPr>
      </w:pPr>
      <w:r w:rsidRPr="0062007F">
        <w:rPr>
          <w:sz w:val="24"/>
        </w:rPr>
        <w:t xml:space="preserve">Cash and Cash Equivalent </w:t>
      </w:r>
      <w:r>
        <w:rPr>
          <w:sz w:val="24"/>
        </w:rPr>
        <w:t>Collection (R2017-J)</w:t>
      </w:r>
    </w:p>
    <w:p w14:paraId="719D0CCF" w14:textId="77777777" w:rsidR="00FB0797" w:rsidRDefault="00FB0797">
      <w:pPr>
        <w:rPr>
          <w:sz w:val="24"/>
        </w:rPr>
      </w:pPr>
    </w:p>
    <w:p w14:paraId="0AF3AC7C" w14:textId="77777777" w:rsidR="00A27E96" w:rsidRPr="00B24052" w:rsidRDefault="00A27E96">
      <w:pPr>
        <w:rPr>
          <w:sz w:val="24"/>
        </w:rPr>
      </w:pPr>
    </w:p>
    <w:p w14:paraId="31015A96" w14:textId="77777777" w:rsidR="00FB0797" w:rsidRPr="00B24052" w:rsidRDefault="00FB0797" w:rsidP="00BF127B">
      <w:pPr>
        <w:ind w:left="720"/>
        <w:rPr>
          <w:sz w:val="24"/>
        </w:rPr>
      </w:pPr>
      <w:r w:rsidRPr="00B24052">
        <w:rPr>
          <w:b/>
          <w:sz w:val="24"/>
        </w:rPr>
        <w:t>C.</w:t>
      </w:r>
      <w:r w:rsidRPr="00B24052">
        <w:rPr>
          <w:b/>
          <w:sz w:val="24"/>
        </w:rPr>
        <w:tab/>
      </w:r>
      <w:r w:rsidRPr="00B24052">
        <w:rPr>
          <w:b/>
          <w:sz w:val="24"/>
          <w:u w:val="single"/>
        </w:rPr>
        <w:t>SCOPE</w:t>
      </w:r>
    </w:p>
    <w:p w14:paraId="1BFCE9DC" w14:textId="77777777" w:rsidR="00FB0797" w:rsidRPr="00B24052" w:rsidRDefault="00FB0797" w:rsidP="00B8317B">
      <w:pPr>
        <w:rPr>
          <w:sz w:val="24"/>
        </w:rPr>
      </w:pPr>
    </w:p>
    <w:p w14:paraId="50A46DB2" w14:textId="709A111F" w:rsidR="00FB0797" w:rsidRPr="00B24052" w:rsidRDefault="00FB0797" w:rsidP="00BF127B">
      <w:pPr>
        <w:ind w:left="1440"/>
        <w:rPr>
          <w:sz w:val="24"/>
        </w:rPr>
      </w:pPr>
      <w:r w:rsidRPr="00B24052">
        <w:rPr>
          <w:sz w:val="24"/>
        </w:rPr>
        <w:t xml:space="preserve">This review analyzed selected data from </w:t>
      </w:r>
      <w:r w:rsidR="001D4FFA">
        <w:rPr>
          <w:sz w:val="24"/>
        </w:rPr>
        <w:t>Fiscal Year (FY)</w:t>
      </w:r>
      <w:r w:rsidR="007C0D53" w:rsidRPr="00B24052">
        <w:rPr>
          <w:sz w:val="24"/>
        </w:rPr>
        <w:t xml:space="preserve"> </w:t>
      </w:r>
      <w:r w:rsidR="001D4FFA">
        <w:rPr>
          <w:sz w:val="24"/>
        </w:rPr>
        <w:t>201</w:t>
      </w:r>
      <w:r w:rsidR="001F5154">
        <w:rPr>
          <w:sz w:val="24"/>
        </w:rPr>
        <w:t>5</w:t>
      </w:r>
      <w:r w:rsidR="001D4FFA">
        <w:rPr>
          <w:sz w:val="24"/>
        </w:rPr>
        <w:t>-</w:t>
      </w:r>
      <w:r w:rsidR="007C0D53" w:rsidRPr="00B24052">
        <w:rPr>
          <w:sz w:val="24"/>
        </w:rPr>
        <w:t>20</w:t>
      </w:r>
      <w:r w:rsidR="00255AF4">
        <w:rPr>
          <w:sz w:val="24"/>
        </w:rPr>
        <w:t>1</w:t>
      </w:r>
      <w:r w:rsidR="001F5154">
        <w:rPr>
          <w:sz w:val="24"/>
        </w:rPr>
        <w:t>6</w:t>
      </w:r>
      <w:r w:rsidR="00556435">
        <w:rPr>
          <w:sz w:val="24"/>
        </w:rPr>
        <w:t>,</w:t>
      </w:r>
      <w:r w:rsidR="00CD2DC1">
        <w:rPr>
          <w:sz w:val="24"/>
        </w:rPr>
        <w:t xml:space="preserve"> and in some cases </w:t>
      </w:r>
      <w:r w:rsidR="005F56FA">
        <w:rPr>
          <w:sz w:val="24"/>
        </w:rPr>
        <w:t>FY</w:t>
      </w:r>
      <w:r w:rsidR="00DC663C">
        <w:rPr>
          <w:sz w:val="24"/>
        </w:rPr>
        <w:t xml:space="preserve"> </w:t>
      </w:r>
      <w:r w:rsidR="001D4FFA">
        <w:rPr>
          <w:sz w:val="24"/>
        </w:rPr>
        <w:t>201</w:t>
      </w:r>
      <w:r w:rsidR="001F5154">
        <w:rPr>
          <w:sz w:val="24"/>
        </w:rPr>
        <w:t>4</w:t>
      </w:r>
      <w:r w:rsidR="001D4FFA">
        <w:rPr>
          <w:sz w:val="24"/>
        </w:rPr>
        <w:t>-</w:t>
      </w:r>
      <w:r w:rsidR="00CD2DC1">
        <w:rPr>
          <w:sz w:val="24"/>
        </w:rPr>
        <w:t>20</w:t>
      </w:r>
      <w:r w:rsidR="00E45FE5">
        <w:rPr>
          <w:sz w:val="24"/>
        </w:rPr>
        <w:t>1</w:t>
      </w:r>
      <w:r w:rsidR="001F5154">
        <w:rPr>
          <w:sz w:val="24"/>
        </w:rPr>
        <w:t>5</w:t>
      </w:r>
      <w:r w:rsidR="00CD2DC1">
        <w:rPr>
          <w:sz w:val="24"/>
        </w:rPr>
        <w:t xml:space="preserve"> and </w:t>
      </w:r>
      <w:r w:rsidR="005F56FA">
        <w:rPr>
          <w:sz w:val="24"/>
        </w:rPr>
        <w:t>FY</w:t>
      </w:r>
      <w:r w:rsidR="00DC663C">
        <w:rPr>
          <w:sz w:val="24"/>
        </w:rPr>
        <w:t xml:space="preserve"> </w:t>
      </w:r>
      <w:r w:rsidR="001D4FFA">
        <w:rPr>
          <w:sz w:val="24"/>
        </w:rPr>
        <w:t>20</w:t>
      </w:r>
      <w:r w:rsidR="00F905E9">
        <w:rPr>
          <w:sz w:val="24"/>
        </w:rPr>
        <w:t>1</w:t>
      </w:r>
      <w:r w:rsidR="001F5154">
        <w:rPr>
          <w:sz w:val="24"/>
        </w:rPr>
        <w:t>3</w:t>
      </w:r>
      <w:r w:rsidR="001D4FFA">
        <w:rPr>
          <w:sz w:val="24"/>
        </w:rPr>
        <w:t>-</w:t>
      </w:r>
      <w:r w:rsidR="00CD2DC1">
        <w:rPr>
          <w:sz w:val="24"/>
        </w:rPr>
        <w:t>20</w:t>
      </w:r>
      <w:r w:rsidR="00E45FE5">
        <w:rPr>
          <w:sz w:val="24"/>
        </w:rPr>
        <w:t>1</w:t>
      </w:r>
      <w:r w:rsidR="001F5154">
        <w:rPr>
          <w:sz w:val="24"/>
        </w:rPr>
        <w:t>4</w:t>
      </w:r>
      <w:r w:rsidRPr="00B24052">
        <w:rPr>
          <w:sz w:val="24"/>
        </w:rPr>
        <w:t>.  We designed the methodology to provide sufficient, competent</w:t>
      </w:r>
      <w:r w:rsidR="0053396B" w:rsidRPr="00B24052">
        <w:rPr>
          <w:sz w:val="24"/>
        </w:rPr>
        <w:t>,</w:t>
      </w:r>
      <w:r w:rsidRPr="00B24052">
        <w:rPr>
          <w:sz w:val="24"/>
        </w:rPr>
        <w:t xml:space="preserve"> and relevant evidence to achieve the objectives of the review.  Due to the extensive range of financial activities and the vast volume of financial data, </w:t>
      </w:r>
      <w:r w:rsidR="003E5F14">
        <w:rPr>
          <w:sz w:val="24"/>
        </w:rPr>
        <w:t xml:space="preserve">not </w:t>
      </w:r>
      <w:r w:rsidRPr="00B24052">
        <w:rPr>
          <w:sz w:val="24"/>
        </w:rPr>
        <w:t xml:space="preserve">all identifiable activities were </w:t>
      </w:r>
      <w:r w:rsidR="003E5F14">
        <w:rPr>
          <w:sz w:val="24"/>
        </w:rPr>
        <w:t>r</w:t>
      </w:r>
      <w:r w:rsidRPr="00B24052">
        <w:rPr>
          <w:sz w:val="24"/>
        </w:rPr>
        <w:t xml:space="preserve">eviewed.  Further, because of the nature of this review’s global perspective and other limitations, the </w:t>
      </w:r>
      <w:r w:rsidR="0029612C">
        <w:rPr>
          <w:sz w:val="24"/>
        </w:rPr>
        <w:t>review</w:t>
      </w:r>
      <w:r w:rsidRPr="00B24052">
        <w:rPr>
          <w:sz w:val="24"/>
        </w:rPr>
        <w:t xml:space="preserve"> procedures could not ensure that</w:t>
      </w:r>
      <w:r w:rsidR="003E5F14">
        <w:rPr>
          <w:sz w:val="24"/>
        </w:rPr>
        <w:t xml:space="preserve"> errors and</w:t>
      </w:r>
      <w:r w:rsidRPr="00B24052">
        <w:rPr>
          <w:sz w:val="24"/>
        </w:rPr>
        <w:t xml:space="preserve"> irregularities were detected, especially minor or isolated incidents.  </w:t>
      </w:r>
    </w:p>
    <w:p w14:paraId="4F111829" w14:textId="77777777" w:rsidR="00FB0797" w:rsidRPr="00B24052" w:rsidRDefault="00FB0797" w:rsidP="00BF127B">
      <w:pPr>
        <w:ind w:left="1440"/>
        <w:rPr>
          <w:sz w:val="24"/>
        </w:rPr>
      </w:pPr>
    </w:p>
    <w:p w14:paraId="5DD8B635" w14:textId="77777777" w:rsidR="00FB0797" w:rsidRPr="00B24052" w:rsidRDefault="00FB0797" w:rsidP="00BF127B">
      <w:pPr>
        <w:ind w:left="1440"/>
        <w:rPr>
          <w:sz w:val="24"/>
        </w:rPr>
      </w:pPr>
      <w:r w:rsidRPr="00B24052">
        <w:rPr>
          <w:sz w:val="24"/>
        </w:rPr>
        <w:t xml:space="preserve">The </w:t>
      </w:r>
      <w:r w:rsidR="00A44D23">
        <w:rPr>
          <w:sz w:val="24"/>
        </w:rPr>
        <w:t>r</w:t>
      </w:r>
      <w:r w:rsidRPr="00B24052">
        <w:rPr>
          <w:sz w:val="24"/>
        </w:rPr>
        <w:t xml:space="preserve">eview </w:t>
      </w:r>
      <w:r w:rsidR="00A44D23">
        <w:rPr>
          <w:sz w:val="24"/>
        </w:rPr>
        <w:t>included, but was not limited to the</w:t>
      </w:r>
      <w:r w:rsidRPr="00B24052">
        <w:rPr>
          <w:sz w:val="24"/>
        </w:rPr>
        <w:t xml:space="preserve"> following areas:</w:t>
      </w:r>
    </w:p>
    <w:p w14:paraId="5DD2FCDF" w14:textId="77777777" w:rsidR="00E4648C" w:rsidRPr="00B24052" w:rsidRDefault="00E4648C" w:rsidP="00BF127B">
      <w:pPr>
        <w:ind w:left="1440"/>
        <w:rPr>
          <w:sz w:val="24"/>
          <w:szCs w:val="24"/>
        </w:rPr>
      </w:pPr>
    </w:p>
    <w:p w14:paraId="023BED41" w14:textId="64065965" w:rsidR="00E4648C" w:rsidRDefault="00E4648C" w:rsidP="00E545EA">
      <w:pPr>
        <w:pStyle w:val="ListParagraph"/>
        <w:numPr>
          <w:ilvl w:val="2"/>
          <w:numId w:val="2"/>
        </w:numPr>
        <w:tabs>
          <w:tab w:val="clear" w:pos="3240"/>
          <w:tab w:val="num" w:pos="1800"/>
        </w:tabs>
        <w:ind w:left="1800"/>
        <w:textAlignment w:val="auto"/>
        <w:rPr>
          <w:b/>
          <w:iCs/>
          <w:sz w:val="24"/>
          <w:szCs w:val="24"/>
          <w:u w:val="single"/>
        </w:rPr>
      </w:pPr>
      <w:r w:rsidRPr="00E545EA">
        <w:rPr>
          <w:b/>
          <w:iCs/>
          <w:sz w:val="24"/>
          <w:szCs w:val="24"/>
          <w:u w:val="single"/>
        </w:rPr>
        <w:t>General</w:t>
      </w:r>
      <w:r w:rsidR="00726F7C" w:rsidRPr="00E545EA">
        <w:rPr>
          <w:b/>
          <w:iCs/>
          <w:sz w:val="24"/>
          <w:szCs w:val="24"/>
          <w:u w:val="single"/>
        </w:rPr>
        <w:t xml:space="preserve"> Ledger</w:t>
      </w:r>
      <w:r w:rsidR="00412E21">
        <w:rPr>
          <w:b/>
          <w:iCs/>
          <w:sz w:val="24"/>
          <w:szCs w:val="24"/>
          <w:u w:val="single"/>
        </w:rPr>
        <w:t xml:space="preserve"> </w:t>
      </w:r>
    </w:p>
    <w:p w14:paraId="3CB9E5D0" w14:textId="77777777" w:rsidR="00AF78F9" w:rsidRDefault="00AF78F9" w:rsidP="0012062A">
      <w:pPr>
        <w:pStyle w:val="ListParagraph"/>
        <w:ind w:left="1800"/>
        <w:textAlignment w:val="auto"/>
        <w:rPr>
          <w:b/>
          <w:iCs/>
          <w:sz w:val="24"/>
          <w:szCs w:val="24"/>
          <w:u w:val="single"/>
        </w:rPr>
      </w:pPr>
    </w:p>
    <w:p w14:paraId="133AA178" w14:textId="14AF88C9" w:rsidR="001F5154" w:rsidRDefault="001F5154" w:rsidP="00AA1D2C">
      <w:pPr>
        <w:pStyle w:val="ListParagraph"/>
        <w:numPr>
          <w:ilvl w:val="0"/>
          <w:numId w:val="27"/>
        </w:numPr>
        <w:tabs>
          <w:tab w:val="left" w:pos="1440"/>
        </w:tabs>
        <w:ind w:left="2160"/>
        <w:rPr>
          <w:iCs/>
          <w:sz w:val="24"/>
          <w:szCs w:val="24"/>
        </w:rPr>
      </w:pPr>
      <w:r w:rsidRPr="00C05C1B">
        <w:rPr>
          <w:iCs/>
          <w:sz w:val="24"/>
          <w:szCs w:val="24"/>
        </w:rPr>
        <w:t>Prepared</w:t>
      </w:r>
      <w:r w:rsidR="00245BAE">
        <w:rPr>
          <w:iCs/>
          <w:sz w:val="24"/>
          <w:szCs w:val="24"/>
        </w:rPr>
        <w:t xml:space="preserve"> an</w:t>
      </w:r>
      <w:r w:rsidRPr="00C05C1B">
        <w:rPr>
          <w:iCs/>
          <w:sz w:val="24"/>
          <w:szCs w:val="24"/>
        </w:rPr>
        <w:t xml:space="preserve"> </w:t>
      </w:r>
      <w:r>
        <w:rPr>
          <w:iCs/>
          <w:sz w:val="24"/>
          <w:szCs w:val="24"/>
        </w:rPr>
        <w:t>analysis</w:t>
      </w:r>
      <w:r w:rsidRPr="00C05C1B">
        <w:rPr>
          <w:iCs/>
          <w:sz w:val="24"/>
          <w:szCs w:val="24"/>
        </w:rPr>
        <w:t xml:space="preserve"> to compare FY 201</w:t>
      </w:r>
      <w:r>
        <w:rPr>
          <w:iCs/>
          <w:sz w:val="24"/>
          <w:szCs w:val="24"/>
        </w:rPr>
        <w:t>4</w:t>
      </w:r>
      <w:r w:rsidRPr="00C05C1B">
        <w:rPr>
          <w:iCs/>
          <w:sz w:val="24"/>
          <w:szCs w:val="24"/>
        </w:rPr>
        <w:t>-201</w:t>
      </w:r>
      <w:r>
        <w:rPr>
          <w:iCs/>
          <w:sz w:val="24"/>
          <w:szCs w:val="24"/>
        </w:rPr>
        <w:t xml:space="preserve">5 </w:t>
      </w:r>
      <w:r w:rsidR="00245BAE">
        <w:rPr>
          <w:iCs/>
          <w:sz w:val="24"/>
          <w:szCs w:val="24"/>
        </w:rPr>
        <w:t xml:space="preserve">with </w:t>
      </w:r>
      <w:r>
        <w:rPr>
          <w:iCs/>
          <w:sz w:val="24"/>
          <w:szCs w:val="24"/>
        </w:rPr>
        <w:t>FY 2015</w:t>
      </w:r>
      <w:r w:rsidRPr="00C05C1B">
        <w:rPr>
          <w:iCs/>
          <w:sz w:val="24"/>
          <w:szCs w:val="24"/>
        </w:rPr>
        <w:t>-201</w:t>
      </w:r>
      <w:r>
        <w:rPr>
          <w:iCs/>
          <w:sz w:val="24"/>
          <w:szCs w:val="24"/>
        </w:rPr>
        <w:t>6</w:t>
      </w:r>
      <w:r w:rsidRPr="00C05C1B">
        <w:rPr>
          <w:iCs/>
          <w:sz w:val="24"/>
          <w:szCs w:val="24"/>
        </w:rPr>
        <w:t xml:space="preserve"> revenues and expenditures by department.  Reviewed activities over $</w:t>
      </w:r>
      <w:r>
        <w:rPr>
          <w:iCs/>
          <w:sz w:val="24"/>
          <w:szCs w:val="24"/>
        </w:rPr>
        <w:t>1,000,000</w:t>
      </w:r>
      <w:r w:rsidRPr="00C05C1B">
        <w:rPr>
          <w:iCs/>
          <w:sz w:val="24"/>
          <w:szCs w:val="24"/>
        </w:rPr>
        <w:t xml:space="preserve"> and with at least a 20 percent change.  Obtained explanations for increases or decreases and determined the reasonableness of explanations with independent analyses and additional inquiries. </w:t>
      </w:r>
    </w:p>
    <w:p w14:paraId="78FE0B7C" w14:textId="78887685" w:rsidR="00AF78F9" w:rsidRDefault="001F5154" w:rsidP="00AA1D2C">
      <w:pPr>
        <w:pStyle w:val="ListParagraph"/>
        <w:numPr>
          <w:ilvl w:val="0"/>
          <w:numId w:val="27"/>
        </w:numPr>
        <w:tabs>
          <w:tab w:val="left" w:pos="1440"/>
        </w:tabs>
        <w:ind w:left="2160"/>
        <w:rPr>
          <w:iCs/>
          <w:sz w:val="24"/>
          <w:szCs w:val="24"/>
        </w:rPr>
      </w:pPr>
      <w:r>
        <w:rPr>
          <w:iCs/>
          <w:sz w:val="24"/>
          <w:szCs w:val="24"/>
        </w:rPr>
        <w:t xml:space="preserve">Performed an analysis of significant deficits and surplus carryforwards at </w:t>
      </w:r>
      <w:r w:rsidR="00245BAE">
        <w:rPr>
          <w:iCs/>
          <w:sz w:val="24"/>
          <w:szCs w:val="24"/>
        </w:rPr>
        <w:t>July 1, 2017</w:t>
      </w:r>
      <w:r>
        <w:rPr>
          <w:iCs/>
          <w:sz w:val="24"/>
          <w:szCs w:val="24"/>
        </w:rPr>
        <w:t xml:space="preserve"> by </w:t>
      </w:r>
      <w:r w:rsidR="00245BAE">
        <w:rPr>
          <w:iCs/>
          <w:sz w:val="24"/>
          <w:szCs w:val="24"/>
        </w:rPr>
        <w:t>F</w:t>
      </w:r>
      <w:r>
        <w:rPr>
          <w:iCs/>
          <w:sz w:val="24"/>
          <w:szCs w:val="24"/>
        </w:rPr>
        <w:t xml:space="preserve">und and </w:t>
      </w:r>
      <w:r w:rsidR="00245BAE">
        <w:rPr>
          <w:iCs/>
          <w:sz w:val="24"/>
          <w:szCs w:val="24"/>
        </w:rPr>
        <w:t>O</w:t>
      </w:r>
      <w:r>
        <w:rPr>
          <w:iCs/>
          <w:sz w:val="24"/>
          <w:szCs w:val="24"/>
        </w:rPr>
        <w:t>rg</w:t>
      </w:r>
      <w:r w:rsidR="00245BAE">
        <w:rPr>
          <w:iCs/>
          <w:sz w:val="24"/>
          <w:szCs w:val="24"/>
        </w:rPr>
        <w:t>anization</w:t>
      </w:r>
      <w:r>
        <w:rPr>
          <w:iCs/>
          <w:sz w:val="24"/>
          <w:szCs w:val="24"/>
        </w:rPr>
        <w:t>. Obtained explanations and reviewed deficit reduction/su</w:t>
      </w:r>
      <w:r w:rsidR="00245BAE">
        <w:rPr>
          <w:iCs/>
          <w:sz w:val="24"/>
          <w:szCs w:val="24"/>
        </w:rPr>
        <w:t>r</w:t>
      </w:r>
      <w:r>
        <w:rPr>
          <w:iCs/>
          <w:sz w:val="24"/>
          <w:szCs w:val="24"/>
        </w:rPr>
        <w:t>plus utilization plans</w:t>
      </w:r>
      <w:r w:rsidR="00245BAE">
        <w:rPr>
          <w:iCs/>
          <w:sz w:val="24"/>
          <w:szCs w:val="24"/>
        </w:rPr>
        <w:t>,</w:t>
      </w:r>
      <w:r>
        <w:rPr>
          <w:iCs/>
          <w:sz w:val="24"/>
          <w:szCs w:val="24"/>
        </w:rPr>
        <w:t xml:space="preserve"> where appropriate. </w:t>
      </w:r>
    </w:p>
    <w:p w14:paraId="7167DF65" w14:textId="618FC773" w:rsidR="001F5154" w:rsidRDefault="001F5154" w:rsidP="00AA1D2C">
      <w:pPr>
        <w:pStyle w:val="ListParagraph"/>
        <w:numPr>
          <w:ilvl w:val="0"/>
          <w:numId w:val="27"/>
        </w:numPr>
        <w:tabs>
          <w:tab w:val="left" w:pos="1440"/>
        </w:tabs>
        <w:ind w:left="2160"/>
        <w:rPr>
          <w:iCs/>
          <w:sz w:val="24"/>
          <w:szCs w:val="24"/>
        </w:rPr>
      </w:pPr>
      <w:r>
        <w:rPr>
          <w:iCs/>
          <w:sz w:val="24"/>
          <w:szCs w:val="24"/>
        </w:rPr>
        <w:t>Performed an analysis of all C</w:t>
      </w:r>
      <w:r w:rsidR="004609B4">
        <w:rPr>
          <w:iCs/>
          <w:sz w:val="24"/>
          <w:szCs w:val="24"/>
        </w:rPr>
        <w:t xml:space="preserve">ontract </w:t>
      </w:r>
      <w:r>
        <w:rPr>
          <w:iCs/>
          <w:sz w:val="24"/>
          <w:szCs w:val="24"/>
        </w:rPr>
        <w:t>&amp;</w:t>
      </w:r>
      <w:r w:rsidR="004609B4">
        <w:rPr>
          <w:iCs/>
          <w:sz w:val="24"/>
          <w:szCs w:val="24"/>
        </w:rPr>
        <w:t xml:space="preserve"> </w:t>
      </w:r>
      <w:r>
        <w:rPr>
          <w:iCs/>
          <w:sz w:val="24"/>
          <w:szCs w:val="24"/>
        </w:rPr>
        <w:t>G</w:t>
      </w:r>
      <w:r w:rsidR="004609B4">
        <w:rPr>
          <w:iCs/>
          <w:sz w:val="24"/>
          <w:szCs w:val="24"/>
        </w:rPr>
        <w:t>rants (C&amp;G)</w:t>
      </w:r>
      <w:r>
        <w:rPr>
          <w:iCs/>
          <w:sz w:val="24"/>
          <w:szCs w:val="24"/>
        </w:rPr>
        <w:t xml:space="preserve"> overdrafts as of </w:t>
      </w:r>
      <w:r w:rsidR="00245BAE">
        <w:rPr>
          <w:iCs/>
          <w:sz w:val="24"/>
          <w:szCs w:val="24"/>
        </w:rPr>
        <w:t>April 30, 2017</w:t>
      </w:r>
      <w:r>
        <w:rPr>
          <w:iCs/>
          <w:sz w:val="24"/>
          <w:szCs w:val="24"/>
        </w:rPr>
        <w:t xml:space="preserve"> and compared to balances as of </w:t>
      </w:r>
      <w:r w:rsidR="00245BAE">
        <w:rPr>
          <w:iCs/>
          <w:sz w:val="24"/>
          <w:szCs w:val="24"/>
        </w:rPr>
        <w:t>June 30, 2016</w:t>
      </w:r>
      <w:r>
        <w:rPr>
          <w:iCs/>
          <w:sz w:val="24"/>
          <w:szCs w:val="24"/>
        </w:rPr>
        <w:t>.  Reviewed process</w:t>
      </w:r>
      <w:r w:rsidR="00245BAE">
        <w:rPr>
          <w:iCs/>
          <w:sz w:val="24"/>
          <w:szCs w:val="24"/>
        </w:rPr>
        <w:t>es</w:t>
      </w:r>
      <w:r>
        <w:rPr>
          <w:iCs/>
          <w:sz w:val="24"/>
          <w:szCs w:val="24"/>
        </w:rPr>
        <w:t xml:space="preserve"> and plans to reduce deficits </w:t>
      </w:r>
      <w:r w:rsidR="00556435">
        <w:rPr>
          <w:iCs/>
          <w:sz w:val="24"/>
          <w:szCs w:val="24"/>
        </w:rPr>
        <w:t xml:space="preserve">for </w:t>
      </w:r>
      <w:r w:rsidR="00245BAE">
        <w:rPr>
          <w:iCs/>
          <w:sz w:val="24"/>
          <w:szCs w:val="24"/>
        </w:rPr>
        <w:t>O</w:t>
      </w:r>
      <w:r>
        <w:rPr>
          <w:iCs/>
          <w:sz w:val="24"/>
          <w:szCs w:val="24"/>
        </w:rPr>
        <w:t>rg</w:t>
      </w:r>
      <w:r w:rsidR="00245BAE">
        <w:rPr>
          <w:iCs/>
          <w:sz w:val="24"/>
          <w:szCs w:val="24"/>
        </w:rPr>
        <w:t>anizations</w:t>
      </w:r>
      <w:r>
        <w:rPr>
          <w:iCs/>
          <w:sz w:val="24"/>
          <w:szCs w:val="24"/>
        </w:rPr>
        <w:t xml:space="preserve"> with significant O</w:t>
      </w:r>
      <w:r w:rsidR="00245BAE">
        <w:rPr>
          <w:iCs/>
          <w:sz w:val="24"/>
          <w:szCs w:val="24"/>
        </w:rPr>
        <w:t>verdraft (O</w:t>
      </w:r>
      <w:r>
        <w:rPr>
          <w:iCs/>
          <w:sz w:val="24"/>
          <w:szCs w:val="24"/>
        </w:rPr>
        <w:t>D</w:t>
      </w:r>
      <w:r w:rsidR="00245BAE">
        <w:rPr>
          <w:iCs/>
          <w:sz w:val="24"/>
          <w:szCs w:val="24"/>
        </w:rPr>
        <w:t>)</w:t>
      </w:r>
      <w:r>
        <w:rPr>
          <w:iCs/>
          <w:sz w:val="24"/>
          <w:szCs w:val="24"/>
        </w:rPr>
        <w:t xml:space="preserve"> balances.  </w:t>
      </w:r>
    </w:p>
    <w:p w14:paraId="493582D4" w14:textId="257CD962" w:rsidR="001F5154" w:rsidRDefault="00AD5C7B" w:rsidP="00AA1D2C">
      <w:pPr>
        <w:pStyle w:val="ListParagraph"/>
        <w:numPr>
          <w:ilvl w:val="0"/>
          <w:numId w:val="27"/>
        </w:numPr>
        <w:tabs>
          <w:tab w:val="left" w:pos="1440"/>
        </w:tabs>
        <w:ind w:left="2160"/>
        <w:rPr>
          <w:iCs/>
          <w:sz w:val="24"/>
          <w:szCs w:val="24"/>
        </w:rPr>
      </w:pPr>
      <w:r>
        <w:rPr>
          <w:iCs/>
          <w:sz w:val="24"/>
          <w:szCs w:val="24"/>
        </w:rPr>
        <w:t>Reviewed</w:t>
      </w:r>
      <w:r w:rsidR="006D47A4">
        <w:rPr>
          <w:iCs/>
          <w:sz w:val="24"/>
          <w:szCs w:val="24"/>
        </w:rPr>
        <w:t xml:space="preserve"> the</w:t>
      </w:r>
      <w:r>
        <w:rPr>
          <w:iCs/>
          <w:sz w:val="24"/>
          <w:szCs w:val="24"/>
        </w:rPr>
        <w:t xml:space="preserve"> year</w:t>
      </w:r>
      <w:r w:rsidR="00556435">
        <w:rPr>
          <w:iCs/>
          <w:sz w:val="24"/>
          <w:szCs w:val="24"/>
        </w:rPr>
        <w:t>-</w:t>
      </w:r>
      <w:r>
        <w:rPr>
          <w:iCs/>
          <w:sz w:val="24"/>
          <w:szCs w:val="24"/>
        </w:rPr>
        <w:t>end Accrual and Clos</w:t>
      </w:r>
      <w:r w:rsidR="00556435">
        <w:rPr>
          <w:iCs/>
          <w:sz w:val="24"/>
          <w:szCs w:val="24"/>
        </w:rPr>
        <w:t>ing</w:t>
      </w:r>
      <w:r>
        <w:rPr>
          <w:iCs/>
          <w:sz w:val="24"/>
          <w:szCs w:val="24"/>
        </w:rPr>
        <w:t xml:space="preserve"> process </w:t>
      </w:r>
      <w:r w:rsidR="006D47A4">
        <w:rPr>
          <w:iCs/>
          <w:sz w:val="24"/>
          <w:szCs w:val="24"/>
        </w:rPr>
        <w:t xml:space="preserve">to determine </w:t>
      </w:r>
      <w:r>
        <w:rPr>
          <w:iCs/>
          <w:sz w:val="24"/>
          <w:szCs w:val="24"/>
        </w:rPr>
        <w:t xml:space="preserve">compliance with </w:t>
      </w:r>
      <w:r w:rsidR="006D47A4">
        <w:rPr>
          <w:iCs/>
          <w:sz w:val="24"/>
          <w:szCs w:val="24"/>
        </w:rPr>
        <w:t xml:space="preserve">applicable </w:t>
      </w:r>
      <w:r>
        <w:rPr>
          <w:iCs/>
          <w:sz w:val="24"/>
          <w:szCs w:val="24"/>
        </w:rPr>
        <w:t xml:space="preserve">policy and </w:t>
      </w:r>
      <w:r w:rsidR="006D47A4">
        <w:rPr>
          <w:iCs/>
          <w:sz w:val="24"/>
          <w:szCs w:val="24"/>
        </w:rPr>
        <w:t xml:space="preserve">identify </w:t>
      </w:r>
      <w:r>
        <w:rPr>
          <w:iCs/>
          <w:sz w:val="24"/>
          <w:szCs w:val="24"/>
        </w:rPr>
        <w:t xml:space="preserve">opportunities to improve </w:t>
      </w:r>
      <w:r w:rsidR="006D47A4">
        <w:rPr>
          <w:iCs/>
          <w:sz w:val="24"/>
          <w:szCs w:val="24"/>
        </w:rPr>
        <w:t xml:space="preserve">the </w:t>
      </w:r>
      <w:r>
        <w:rPr>
          <w:iCs/>
          <w:sz w:val="24"/>
          <w:szCs w:val="24"/>
        </w:rPr>
        <w:t xml:space="preserve">efficiency and timeliness of </w:t>
      </w:r>
      <w:r w:rsidR="006D47A4">
        <w:rPr>
          <w:iCs/>
          <w:sz w:val="24"/>
          <w:szCs w:val="24"/>
        </w:rPr>
        <w:t xml:space="preserve">the </w:t>
      </w:r>
      <w:r>
        <w:rPr>
          <w:iCs/>
          <w:sz w:val="24"/>
          <w:szCs w:val="24"/>
        </w:rPr>
        <w:t>clos</w:t>
      </w:r>
      <w:r w:rsidR="006D47A4">
        <w:rPr>
          <w:iCs/>
          <w:sz w:val="24"/>
          <w:szCs w:val="24"/>
        </w:rPr>
        <w:t>ing process</w:t>
      </w:r>
      <w:r>
        <w:rPr>
          <w:iCs/>
          <w:sz w:val="24"/>
          <w:szCs w:val="24"/>
        </w:rPr>
        <w:t xml:space="preserve">.  </w:t>
      </w:r>
    </w:p>
    <w:p w14:paraId="1C128486" w14:textId="77777777" w:rsidR="00AF78F9" w:rsidRDefault="00AF78F9" w:rsidP="0012062A">
      <w:pPr>
        <w:pStyle w:val="ListParagraph"/>
        <w:ind w:left="1800"/>
        <w:textAlignment w:val="auto"/>
        <w:rPr>
          <w:b/>
          <w:iCs/>
          <w:sz w:val="24"/>
          <w:szCs w:val="24"/>
          <w:u w:val="single"/>
        </w:rPr>
      </w:pPr>
    </w:p>
    <w:p w14:paraId="36E00335" w14:textId="319FBE7E" w:rsidR="00AF78F9" w:rsidRDefault="001F5154" w:rsidP="00E545EA">
      <w:pPr>
        <w:pStyle w:val="ListParagraph"/>
        <w:numPr>
          <w:ilvl w:val="2"/>
          <w:numId w:val="2"/>
        </w:numPr>
        <w:tabs>
          <w:tab w:val="clear" w:pos="3240"/>
          <w:tab w:val="num" w:pos="1800"/>
        </w:tabs>
        <w:ind w:left="1800"/>
        <w:textAlignment w:val="auto"/>
        <w:rPr>
          <w:b/>
          <w:iCs/>
          <w:sz w:val="24"/>
          <w:szCs w:val="24"/>
          <w:u w:val="single"/>
        </w:rPr>
      </w:pPr>
      <w:r>
        <w:rPr>
          <w:b/>
          <w:iCs/>
          <w:sz w:val="24"/>
          <w:szCs w:val="24"/>
          <w:u w:val="single"/>
        </w:rPr>
        <w:t>Payroll Cost Transfers</w:t>
      </w:r>
    </w:p>
    <w:p w14:paraId="654A4737" w14:textId="77777777" w:rsidR="00AA1D2C" w:rsidRDefault="00AA1D2C" w:rsidP="008A1F50">
      <w:pPr>
        <w:pStyle w:val="ListParagraph"/>
        <w:ind w:left="1800"/>
        <w:textAlignment w:val="auto"/>
        <w:rPr>
          <w:b/>
          <w:iCs/>
          <w:sz w:val="24"/>
          <w:szCs w:val="24"/>
          <w:u w:val="single"/>
        </w:rPr>
      </w:pPr>
    </w:p>
    <w:p w14:paraId="23E0E321" w14:textId="110F1AFD" w:rsidR="00860A5C" w:rsidRDefault="001F5154" w:rsidP="008A1F50">
      <w:pPr>
        <w:pStyle w:val="NoSpacing"/>
        <w:ind w:left="1800"/>
        <w:rPr>
          <w:bCs/>
          <w:sz w:val="24"/>
          <w:szCs w:val="24"/>
        </w:rPr>
      </w:pPr>
      <w:r>
        <w:rPr>
          <w:bCs/>
          <w:sz w:val="24"/>
          <w:szCs w:val="24"/>
        </w:rPr>
        <w:t>Reviewed Payroll Cost Transfer trends from FY</w:t>
      </w:r>
      <w:r w:rsidR="006D47A4">
        <w:rPr>
          <w:bCs/>
          <w:sz w:val="24"/>
          <w:szCs w:val="24"/>
        </w:rPr>
        <w:t xml:space="preserve"> 2014-</w:t>
      </w:r>
      <w:r>
        <w:rPr>
          <w:bCs/>
          <w:sz w:val="24"/>
          <w:szCs w:val="24"/>
        </w:rPr>
        <w:t>15 to FY</w:t>
      </w:r>
      <w:r w:rsidR="006D47A4">
        <w:rPr>
          <w:bCs/>
          <w:sz w:val="24"/>
          <w:szCs w:val="24"/>
        </w:rPr>
        <w:t xml:space="preserve"> 2015-</w:t>
      </w:r>
      <w:r>
        <w:rPr>
          <w:bCs/>
          <w:sz w:val="24"/>
          <w:szCs w:val="24"/>
        </w:rPr>
        <w:t>16</w:t>
      </w:r>
      <w:r w:rsidR="009A4F12">
        <w:rPr>
          <w:bCs/>
          <w:sz w:val="24"/>
          <w:szCs w:val="24"/>
        </w:rPr>
        <w:t xml:space="preserve">. </w:t>
      </w:r>
      <w:r>
        <w:rPr>
          <w:bCs/>
          <w:sz w:val="24"/>
          <w:szCs w:val="24"/>
        </w:rPr>
        <w:t xml:space="preserve">We did not perform </w:t>
      </w:r>
      <w:r w:rsidR="00556435">
        <w:rPr>
          <w:bCs/>
          <w:sz w:val="24"/>
          <w:szCs w:val="24"/>
        </w:rPr>
        <w:t>our</w:t>
      </w:r>
      <w:r>
        <w:rPr>
          <w:bCs/>
          <w:sz w:val="24"/>
          <w:szCs w:val="24"/>
        </w:rPr>
        <w:t xml:space="preserve"> usual </w:t>
      </w:r>
      <w:r w:rsidR="006D47A4">
        <w:rPr>
          <w:bCs/>
          <w:sz w:val="24"/>
          <w:szCs w:val="24"/>
        </w:rPr>
        <w:t xml:space="preserve">comprehensive </w:t>
      </w:r>
      <w:r>
        <w:rPr>
          <w:bCs/>
          <w:sz w:val="24"/>
          <w:szCs w:val="24"/>
        </w:rPr>
        <w:t xml:space="preserve">Analytic Review of payroll </w:t>
      </w:r>
      <w:r w:rsidR="00AA1D2C">
        <w:rPr>
          <w:bCs/>
          <w:sz w:val="24"/>
          <w:szCs w:val="24"/>
        </w:rPr>
        <w:t xml:space="preserve">this fiscal year as we have done in past years </w:t>
      </w:r>
      <w:r>
        <w:rPr>
          <w:bCs/>
          <w:sz w:val="24"/>
          <w:szCs w:val="24"/>
        </w:rPr>
        <w:t xml:space="preserve">as </w:t>
      </w:r>
      <w:r w:rsidR="006D47A4">
        <w:rPr>
          <w:bCs/>
          <w:sz w:val="24"/>
          <w:szCs w:val="24"/>
        </w:rPr>
        <w:t xml:space="preserve">we completed an </w:t>
      </w:r>
      <w:r>
        <w:rPr>
          <w:bCs/>
          <w:sz w:val="24"/>
          <w:szCs w:val="24"/>
        </w:rPr>
        <w:t>audit of Overtime/</w:t>
      </w:r>
      <w:r w:rsidR="00AA1D2C">
        <w:rPr>
          <w:bCs/>
          <w:sz w:val="24"/>
          <w:szCs w:val="24"/>
        </w:rPr>
        <w:t xml:space="preserve"> </w:t>
      </w:r>
      <w:r>
        <w:rPr>
          <w:bCs/>
          <w:sz w:val="24"/>
          <w:szCs w:val="24"/>
        </w:rPr>
        <w:t xml:space="preserve">Compensatory </w:t>
      </w:r>
      <w:r w:rsidR="00AA1D2C">
        <w:rPr>
          <w:bCs/>
          <w:sz w:val="24"/>
          <w:szCs w:val="24"/>
        </w:rPr>
        <w:t>T</w:t>
      </w:r>
      <w:r>
        <w:rPr>
          <w:bCs/>
          <w:sz w:val="24"/>
          <w:szCs w:val="24"/>
        </w:rPr>
        <w:t xml:space="preserve">ime </w:t>
      </w:r>
      <w:r w:rsidR="006D47A4">
        <w:rPr>
          <w:bCs/>
          <w:sz w:val="24"/>
          <w:szCs w:val="24"/>
        </w:rPr>
        <w:t>(</w:t>
      </w:r>
      <w:r w:rsidR="00AA1D2C">
        <w:rPr>
          <w:bCs/>
          <w:sz w:val="24"/>
          <w:szCs w:val="24"/>
        </w:rPr>
        <w:t>R2017-08</w:t>
      </w:r>
      <w:r w:rsidR="006D47A4">
        <w:rPr>
          <w:bCs/>
          <w:sz w:val="24"/>
          <w:szCs w:val="24"/>
        </w:rPr>
        <w:t>)</w:t>
      </w:r>
      <w:r w:rsidR="00AA1D2C">
        <w:rPr>
          <w:bCs/>
          <w:sz w:val="24"/>
          <w:szCs w:val="24"/>
        </w:rPr>
        <w:t xml:space="preserve"> </w:t>
      </w:r>
      <w:r>
        <w:rPr>
          <w:bCs/>
          <w:sz w:val="24"/>
          <w:szCs w:val="24"/>
        </w:rPr>
        <w:t xml:space="preserve">which addressed </w:t>
      </w:r>
      <w:r w:rsidR="00AA1D2C">
        <w:rPr>
          <w:bCs/>
          <w:sz w:val="24"/>
          <w:szCs w:val="24"/>
        </w:rPr>
        <w:t>many of the</w:t>
      </w:r>
      <w:r>
        <w:rPr>
          <w:bCs/>
          <w:sz w:val="24"/>
          <w:szCs w:val="24"/>
        </w:rPr>
        <w:t xml:space="preserve"> areas</w:t>
      </w:r>
      <w:r w:rsidR="00AA1D2C">
        <w:rPr>
          <w:bCs/>
          <w:sz w:val="24"/>
          <w:szCs w:val="24"/>
        </w:rPr>
        <w:t xml:space="preserve"> we usually cover in the Analytic Review Audit </w:t>
      </w:r>
      <w:r w:rsidR="00556435">
        <w:rPr>
          <w:bCs/>
          <w:sz w:val="24"/>
          <w:szCs w:val="24"/>
        </w:rPr>
        <w:t xml:space="preserve">of </w:t>
      </w:r>
      <w:r w:rsidR="00AA1D2C">
        <w:rPr>
          <w:bCs/>
          <w:sz w:val="24"/>
          <w:szCs w:val="24"/>
        </w:rPr>
        <w:t>the Payroll cycle</w:t>
      </w:r>
      <w:r>
        <w:rPr>
          <w:bCs/>
          <w:sz w:val="24"/>
          <w:szCs w:val="24"/>
        </w:rPr>
        <w:t xml:space="preserve">.  </w:t>
      </w:r>
    </w:p>
    <w:p w14:paraId="0B8B0892" w14:textId="21473444" w:rsidR="0064593A" w:rsidRDefault="0064593A" w:rsidP="008A1F50">
      <w:pPr>
        <w:pStyle w:val="NoSpacing"/>
        <w:ind w:left="1800"/>
        <w:rPr>
          <w:bCs/>
          <w:sz w:val="24"/>
          <w:szCs w:val="24"/>
        </w:rPr>
      </w:pPr>
    </w:p>
    <w:p w14:paraId="43ACCFF9" w14:textId="44CCB74E" w:rsidR="0064593A" w:rsidRPr="0064593A" w:rsidRDefault="0064593A" w:rsidP="00EC6BB5">
      <w:pPr>
        <w:tabs>
          <w:tab w:val="left" w:pos="2160"/>
        </w:tabs>
        <w:ind w:left="1440"/>
        <w:textAlignment w:val="auto"/>
        <w:rPr>
          <w:sz w:val="24"/>
        </w:rPr>
      </w:pPr>
      <w:r w:rsidRPr="00C8373C">
        <w:rPr>
          <w:sz w:val="24"/>
        </w:rPr>
        <w:t xml:space="preserve">Our substantive audit procedures were performed from </w:t>
      </w:r>
      <w:r>
        <w:rPr>
          <w:sz w:val="24"/>
        </w:rPr>
        <w:t>July 2016</w:t>
      </w:r>
      <w:r w:rsidRPr="00C8373C">
        <w:rPr>
          <w:sz w:val="24"/>
        </w:rPr>
        <w:t xml:space="preserve"> to June 2017. </w:t>
      </w:r>
      <w:r>
        <w:rPr>
          <w:sz w:val="24"/>
        </w:rPr>
        <w:t xml:space="preserve"> </w:t>
      </w:r>
      <w:r w:rsidRPr="00C8373C">
        <w:rPr>
          <w:sz w:val="24"/>
        </w:rPr>
        <w:t>Accordingly, this evaluation of internal controls is based on our knowledge as of that time and should be read with that understanding.</w:t>
      </w:r>
    </w:p>
    <w:p w14:paraId="647B5A5E" w14:textId="77777777" w:rsidR="001F5154" w:rsidRPr="00BC3C62" w:rsidRDefault="001F5154" w:rsidP="008A1F50">
      <w:pPr>
        <w:pStyle w:val="NoSpacing"/>
        <w:ind w:left="2520"/>
        <w:rPr>
          <w:bCs/>
          <w:sz w:val="24"/>
          <w:szCs w:val="24"/>
        </w:rPr>
      </w:pPr>
    </w:p>
    <w:p w14:paraId="61E622FC" w14:textId="66BED5A7" w:rsidR="00E651B5" w:rsidRPr="00BF127B" w:rsidRDefault="00E651B5" w:rsidP="008A6CAF">
      <w:pPr>
        <w:overflowPunct/>
        <w:autoSpaceDE/>
        <w:autoSpaceDN/>
        <w:adjustRightInd/>
        <w:ind w:right="-630"/>
        <w:textAlignment w:val="auto"/>
        <w:rPr>
          <w:b/>
          <w:sz w:val="24"/>
        </w:rPr>
      </w:pPr>
      <w:r w:rsidRPr="00BF127B">
        <w:rPr>
          <w:b/>
          <w:sz w:val="24"/>
        </w:rPr>
        <w:t>III.</w:t>
      </w:r>
      <w:r w:rsidRPr="00BF127B">
        <w:rPr>
          <w:b/>
          <w:sz w:val="24"/>
        </w:rPr>
        <w:tab/>
      </w:r>
      <w:r w:rsidRPr="00BF127B">
        <w:rPr>
          <w:b/>
          <w:sz w:val="24"/>
          <w:u w:val="single"/>
        </w:rPr>
        <w:t>OBSERVATIONS</w:t>
      </w:r>
      <w:r w:rsidR="008A6CAF">
        <w:rPr>
          <w:b/>
          <w:sz w:val="24"/>
          <w:u w:val="single"/>
        </w:rPr>
        <w:t xml:space="preserve">, </w:t>
      </w:r>
      <w:r w:rsidRPr="00BF127B">
        <w:rPr>
          <w:b/>
          <w:sz w:val="24"/>
          <w:u w:val="single"/>
        </w:rPr>
        <w:t>COMMENTS</w:t>
      </w:r>
      <w:r w:rsidR="008A6CAF">
        <w:rPr>
          <w:b/>
          <w:sz w:val="24"/>
          <w:u w:val="single"/>
        </w:rPr>
        <w:t xml:space="preserve"> AND MANAGEMENT CORRECTIVE ACTION</w:t>
      </w:r>
    </w:p>
    <w:p w14:paraId="722F4B84" w14:textId="748A22A9" w:rsidR="000679CB" w:rsidRDefault="000679CB" w:rsidP="000679CB">
      <w:pPr>
        <w:pStyle w:val="NoSpacing"/>
        <w:tabs>
          <w:tab w:val="left" w:pos="1080"/>
        </w:tabs>
        <w:ind w:left="1080"/>
        <w:rPr>
          <w:sz w:val="24"/>
          <w:szCs w:val="24"/>
        </w:rPr>
      </w:pPr>
    </w:p>
    <w:p w14:paraId="232CE5C3" w14:textId="5392570C" w:rsidR="003B2851" w:rsidRPr="008475B4" w:rsidRDefault="003B2851" w:rsidP="00A64AF7">
      <w:pPr>
        <w:pStyle w:val="NoSpacing"/>
        <w:numPr>
          <w:ilvl w:val="0"/>
          <w:numId w:val="44"/>
        </w:numPr>
        <w:ind w:left="1080" w:hanging="360"/>
        <w:rPr>
          <w:b/>
          <w:sz w:val="24"/>
          <w:szCs w:val="24"/>
          <w:u w:val="single"/>
        </w:rPr>
      </w:pPr>
      <w:r w:rsidRPr="00EF5E9F">
        <w:rPr>
          <w:b/>
          <w:sz w:val="24"/>
          <w:szCs w:val="24"/>
          <w:u w:val="single"/>
        </w:rPr>
        <w:t xml:space="preserve">GL </w:t>
      </w:r>
      <w:r w:rsidR="006D47A4">
        <w:rPr>
          <w:b/>
          <w:sz w:val="24"/>
          <w:szCs w:val="24"/>
          <w:u w:val="single"/>
        </w:rPr>
        <w:t>Account Analysis</w:t>
      </w:r>
    </w:p>
    <w:p w14:paraId="2E8209AB" w14:textId="35E392BA" w:rsidR="008475B4" w:rsidRDefault="008475B4" w:rsidP="00EF5E9F">
      <w:pPr>
        <w:pStyle w:val="NoSpacing"/>
        <w:ind w:left="1140"/>
        <w:rPr>
          <w:b/>
          <w:sz w:val="24"/>
          <w:szCs w:val="24"/>
          <w:u w:val="single"/>
        </w:rPr>
      </w:pPr>
    </w:p>
    <w:p w14:paraId="4A039A87" w14:textId="0B86EAD9" w:rsidR="007A4EEA" w:rsidRPr="00EF5E9F" w:rsidRDefault="007A4EEA" w:rsidP="00A64AF7">
      <w:pPr>
        <w:ind w:left="1080"/>
        <w:rPr>
          <w:sz w:val="24"/>
          <w:szCs w:val="24"/>
        </w:rPr>
      </w:pPr>
      <w:r w:rsidRPr="00EF5E9F">
        <w:rPr>
          <w:sz w:val="24"/>
          <w:szCs w:val="24"/>
        </w:rPr>
        <w:t>We performed an analysis of GL activity by department for two FY</w:t>
      </w:r>
      <w:r w:rsidR="00642C00">
        <w:rPr>
          <w:sz w:val="24"/>
          <w:szCs w:val="24"/>
        </w:rPr>
        <w:t>s</w:t>
      </w:r>
      <w:r w:rsidRPr="00EF5E9F">
        <w:rPr>
          <w:sz w:val="24"/>
          <w:szCs w:val="24"/>
        </w:rPr>
        <w:t xml:space="preserve"> and reviewed fluctuations</w:t>
      </w:r>
      <w:r w:rsidR="00642C00">
        <w:rPr>
          <w:sz w:val="24"/>
          <w:szCs w:val="24"/>
        </w:rPr>
        <w:t xml:space="preserve"> greater than</w:t>
      </w:r>
      <w:r w:rsidRPr="00EF5E9F">
        <w:rPr>
          <w:sz w:val="24"/>
          <w:szCs w:val="24"/>
        </w:rPr>
        <w:t xml:space="preserve"> $1</w:t>
      </w:r>
      <w:r w:rsidR="00642C00">
        <w:rPr>
          <w:sz w:val="24"/>
          <w:szCs w:val="24"/>
        </w:rPr>
        <w:t xml:space="preserve"> </w:t>
      </w:r>
      <w:r w:rsidR="00E87558">
        <w:rPr>
          <w:sz w:val="24"/>
          <w:szCs w:val="24"/>
        </w:rPr>
        <w:t>m</w:t>
      </w:r>
      <w:r w:rsidR="00642C00">
        <w:rPr>
          <w:sz w:val="24"/>
          <w:szCs w:val="24"/>
        </w:rPr>
        <w:t>illion</w:t>
      </w:r>
      <w:r w:rsidRPr="00EF5E9F">
        <w:rPr>
          <w:sz w:val="24"/>
          <w:szCs w:val="24"/>
        </w:rPr>
        <w:t xml:space="preserve"> </w:t>
      </w:r>
      <w:r>
        <w:rPr>
          <w:sz w:val="24"/>
          <w:szCs w:val="24"/>
        </w:rPr>
        <w:t>and 20</w:t>
      </w:r>
      <w:r w:rsidR="00E87558">
        <w:rPr>
          <w:sz w:val="24"/>
          <w:szCs w:val="24"/>
        </w:rPr>
        <w:t xml:space="preserve"> percent</w:t>
      </w:r>
      <w:r>
        <w:rPr>
          <w:sz w:val="24"/>
          <w:szCs w:val="24"/>
        </w:rPr>
        <w:t xml:space="preserve"> </w:t>
      </w:r>
      <w:r w:rsidRPr="00EF5E9F">
        <w:rPr>
          <w:sz w:val="24"/>
          <w:szCs w:val="24"/>
        </w:rPr>
        <w:t>from FY</w:t>
      </w:r>
      <w:r w:rsidR="006D47A4">
        <w:rPr>
          <w:sz w:val="24"/>
          <w:szCs w:val="24"/>
        </w:rPr>
        <w:t xml:space="preserve"> 2014-</w:t>
      </w:r>
      <w:r w:rsidRPr="00EF5E9F">
        <w:rPr>
          <w:sz w:val="24"/>
          <w:szCs w:val="24"/>
        </w:rPr>
        <w:t>15 to FY</w:t>
      </w:r>
      <w:r w:rsidR="006D47A4">
        <w:rPr>
          <w:sz w:val="24"/>
          <w:szCs w:val="24"/>
        </w:rPr>
        <w:t xml:space="preserve"> 2015-</w:t>
      </w:r>
      <w:r w:rsidRPr="00EF5E9F">
        <w:rPr>
          <w:sz w:val="24"/>
          <w:szCs w:val="24"/>
        </w:rPr>
        <w:t>16.  We obtained sufficient explanation</w:t>
      </w:r>
      <w:r w:rsidR="00E87558">
        <w:rPr>
          <w:sz w:val="24"/>
          <w:szCs w:val="24"/>
        </w:rPr>
        <w:t>s</w:t>
      </w:r>
      <w:r w:rsidRPr="00EF5E9F">
        <w:rPr>
          <w:sz w:val="24"/>
          <w:szCs w:val="24"/>
        </w:rPr>
        <w:t xml:space="preserve"> for all </w:t>
      </w:r>
      <w:r w:rsidR="00E87558">
        <w:rPr>
          <w:sz w:val="24"/>
          <w:szCs w:val="24"/>
        </w:rPr>
        <w:t>identified unusual or significant fluctuations</w:t>
      </w:r>
      <w:r w:rsidR="00EC42B4">
        <w:rPr>
          <w:sz w:val="24"/>
          <w:szCs w:val="24"/>
        </w:rPr>
        <w:t xml:space="preserve">, </w:t>
      </w:r>
      <w:r w:rsidRPr="00EF5E9F">
        <w:rPr>
          <w:sz w:val="24"/>
          <w:szCs w:val="24"/>
        </w:rPr>
        <w:t xml:space="preserve">except </w:t>
      </w:r>
      <w:r w:rsidR="00EC42B4">
        <w:rPr>
          <w:sz w:val="24"/>
          <w:szCs w:val="24"/>
        </w:rPr>
        <w:t xml:space="preserve">for </w:t>
      </w:r>
      <w:r w:rsidR="00E87558">
        <w:rPr>
          <w:sz w:val="24"/>
          <w:szCs w:val="24"/>
        </w:rPr>
        <w:t xml:space="preserve">one </w:t>
      </w:r>
      <w:r w:rsidRPr="00EF5E9F">
        <w:rPr>
          <w:sz w:val="24"/>
          <w:szCs w:val="24"/>
        </w:rPr>
        <w:t>in Housing</w:t>
      </w:r>
      <w:r w:rsidR="00EA6D47">
        <w:rPr>
          <w:sz w:val="24"/>
          <w:szCs w:val="24"/>
        </w:rPr>
        <w:t xml:space="preserve"> Services</w:t>
      </w:r>
      <w:r w:rsidR="00EC42B4">
        <w:rPr>
          <w:sz w:val="24"/>
          <w:szCs w:val="24"/>
        </w:rPr>
        <w:t xml:space="preserve"> for $2.1M</w:t>
      </w:r>
      <w:r w:rsidRPr="00EF5E9F">
        <w:rPr>
          <w:sz w:val="24"/>
          <w:szCs w:val="24"/>
        </w:rPr>
        <w:t xml:space="preserve">.  </w:t>
      </w:r>
      <w:r w:rsidR="00042418">
        <w:rPr>
          <w:sz w:val="24"/>
          <w:szCs w:val="24"/>
        </w:rPr>
        <w:t xml:space="preserve">The fluctuation in Housing Net Income was due to a FY16 $2.5M transfer of deferred income into operating income.  In FY15 the transfer was $400k.  We understood that income was being </w:t>
      </w:r>
      <w:r w:rsidR="00A64AF7">
        <w:rPr>
          <w:sz w:val="24"/>
          <w:szCs w:val="24"/>
        </w:rPr>
        <w:t xml:space="preserve">excessively </w:t>
      </w:r>
      <w:r w:rsidR="00042418">
        <w:rPr>
          <w:sz w:val="24"/>
          <w:szCs w:val="24"/>
        </w:rPr>
        <w:t xml:space="preserve">deferred </w:t>
      </w:r>
      <w:r w:rsidR="00A64AF7">
        <w:rPr>
          <w:sz w:val="24"/>
          <w:szCs w:val="24"/>
        </w:rPr>
        <w:t xml:space="preserve">in FY15 </w:t>
      </w:r>
      <w:r w:rsidR="00042418">
        <w:rPr>
          <w:sz w:val="24"/>
          <w:szCs w:val="24"/>
        </w:rPr>
        <w:t xml:space="preserve">to meet a debt coverage ratio.  Housing understands that this is not a proper accounting treatment and will not continue this practice. </w:t>
      </w:r>
      <w:r w:rsidR="00A64AF7">
        <w:rPr>
          <w:sz w:val="24"/>
          <w:szCs w:val="24"/>
        </w:rPr>
        <w:t xml:space="preserve"> The FY16 entry reportedly brings deferred revenue to </w:t>
      </w:r>
      <w:r w:rsidR="00EA6D47">
        <w:rPr>
          <w:sz w:val="24"/>
          <w:szCs w:val="24"/>
        </w:rPr>
        <w:t>the correct amoun</w:t>
      </w:r>
      <w:r w:rsidR="0036592B">
        <w:rPr>
          <w:sz w:val="24"/>
          <w:szCs w:val="24"/>
        </w:rPr>
        <w:t>t</w:t>
      </w:r>
      <w:r w:rsidR="00A64AF7">
        <w:rPr>
          <w:sz w:val="24"/>
          <w:szCs w:val="24"/>
        </w:rPr>
        <w:t xml:space="preserve">.  </w:t>
      </w:r>
      <w:r w:rsidRPr="00EF5E9F">
        <w:rPr>
          <w:sz w:val="24"/>
          <w:szCs w:val="24"/>
        </w:rPr>
        <w:t>S</w:t>
      </w:r>
      <w:r w:rsidR="00E87558">
        <w:rPr>
          <w:sz w:val="24"/>
          <w:szCs w:val="24"/>
        </w:rPr>
        <w:t>chool of Medicine (S</w:t>
      </w:r>
      <w:r w:rsidRPr="00EF5E9F">
        <w:rPr>
          <w:sz w:val="24"/>
          <w:szCs w:val="24"/>
        </w:rPr>
        <w:t>OM</w:t>
      </w:r>
      <w:r w:rsidR="00E87558">
        <w:rPr>
          <w:sz w:val="24"/>
          <w:szCs w:val="24"/>
        </w:rPr>
        <w:t>)</w:t>
      </w:r>
      <w:r w:rsidRPr="00EF5E9F">
        <w:rPr>
          <w:sz w:val="24"/>
          <w:szCs w:val="24"/>
        </w:rPr>
        <w:t xml:space="preserve"> fluctuations </w:t>
      </w:r>
      <w:r w:rsidR="00E87558">
        <w:rPr>
          <w:sz w:val="24"/>
          <w:szCs w:val="24"/>
        </w:rPr>
        <w:t>are</w:t>
      </w:r>
      <w:r w:rsidRPr="00EF5E9F">
        <w:rPr>
          <w:sz w:val="24"/>
          <w:szCs w:val="24"/>
        </w:rPr>
        <w:t xml:space="preserve"> covered </w:t>
      </w:r>
      <w:r w:rsidR="00E87558">
        <w:rPr>
          <w:sz w:val="24"/>
          <w:szCs w:val="24"/>
        </w:rPr>
        <w:t>in</w:t>
      </w:r>
      <w:r w:rsidRPr="00EF5E9F">
        <w:rPr>
          <w:sz w:val="24"/>
          <w:szCs w:val="24"/>
        </w:rPr>
        <w:t xml:space="preserve"> the SOM Audit</w:t>
      </w:r>
      <w:r w:rsidR="00E87558">
        <w:rPr>
          <w:sz w:val="24"/>
          <w:szCs w:val="24"/>
        </w:rPr>
        <w:t xml:space="preserve"> (R201</w:t>
      </w:r>
      <w:r w:rsidR="00B121E6">
        <w:rPr>
          <w:sz w:val="24"/>
          <w:szCs w:val="24"/>
        </w:rPr>
        <w:t>6</w:t>
      </w:r>
      <w:r w:rsidR="00E87558">
        <w:rPr>
          <w:sz w:val="24"/>
          <w:szCs w:val="24"/>
        </w:rPr>
        <w:t>-</w:t>
      </w:r>
      <w:r w:rsidR="00B121E6">
        <w:rPr>
          <w:sz w:val="24"/>
          <w:szCs w:val="24"/>
        </w:rPr>
        <w:t>01</w:t>
      </w:r>
      <w:r w:rsidR="00E87558">
        <w:rPr>
          <w:sz w:val="24"/>
          <w:szCs w:val="24"/>
        </w:rPr>
        <w:t>)</w:t>
      </w:r>
      <w:r w:rsidRPr="00EF5E9F">
        <w:rPr>
          <w:sz w:val="24"/>
          <w:szCs w:val="24"/>
        </w:rPr>
        <w:t xml:space="preserve">.  </w:t>
      </w:r>
    </w:p>
    <w:p w14:paraId="0765F85B" w14:textId="77777777" w:rsidR="008475B4" w:rsidRPr="00EF5E9F" w:rsidRDefault="008475B4" w:rsidP="00EF5E9F">
      <w:pPr>
        <w:pStyle w:val="NoSpacing"/>
        <w:ind w:left="1140"/>
        <w:rPr>
          <w:b/>
          <w:sz w:val="24"/>
          <w:szCs w:val="24"/>
          <w:u w:val="single"/>
        </w:rPr>
      </w:pPr>
    </w:p>
    <w:p w14:paraId="0EE79101" w14:textId="60A5B1F4" w:rsidR="003B2851" w:rsidRDefault="003B2851" w:rsidP="00A64AF7">
      <w:pPr>
        <w:pStyle w:val="NoSpacing"/>
        <w:numPr>
          <w:ilvl w:val="0"/>
          <w:numId w:val="44"/>
        </w:numPr>
        <w:ind w:left="1080" w:hanging="360"/>
        <w:rPr>
          <w:b/>
          <w:sz w:val="24"/>
          <w:szCs w:val="24"/>
          <w:u w:val="single"/>
        </w:rPr>
      </w:pPr>
      <w:r>
        <w:rPr>
          <w:b/>
          <w:sz w:val="24"/>
          <w:szCs w:val="24"/>
          <w:u w:val="single"/>
        </w:rPr>
        <w:t>Deficit/Surplus Analysis</w:t>
      </w:r>
    </w:p>
    <w:p w14:paraId="43BEB6DF" w14:textId="77777777" w:rsidR="003B2851" w:rsidRDefault="003B2851" w:rsidP="00EF5E9F">
      <w:pPr>
        <w:pStyle w:val="ListParagraph"/>
        <w:rPr>
          <w:b/>
          <w:sz w:val="24"/>
          <w:szCs w:val="24"/>
          <w:u w:val="single"/>
        </w:rPr>
      </w:pPr>
    </w:p>
    <w:p w14:paraId="23530FB9" w14:textId="48CFC471" w:rsidR="007A4EEA" w:rsidRDefault="007A4EEA" w:rsidP="00494DE8">
      <w:pPr>
        <w:pStyle w:val="ListParagraph"/>
        <w:ind w:left="1080"/>
        <w:rPr>
          <w:sz w:val="24"/>
          <w:szCs w:val="24"/>
        </w:rPr>
      </w:pPr>
      <w:r w:rsidRPr="00EF5E9F">
        <w:rPr>
          <w:sz w:val="24"/>
          <w:szCs w:val="24"/>
        </w:rPr>
        <w:t xml:space="preserve">An analysis of </w:t>
      </w:r>
      <w:r w:rsidR="00E87558">
        <w:rPr>
          <w:sz w:val="24"/>
          <w:szCs w:val="24"/>
        </w:rPr>
        <w:t>carry forward (C</w:t>
      </w:r>
      <w:r w:rsidRPr="00EF5E9F">
        <w:rPr>
          <w:sz w:val="24"/>
          <w:szCs w:val="24"/>
        </w:rPr>
        <w:t>F</w:t>
      </w:r>
      <w:r w:rsidR="00E87558">
        <w:rPr>
          <w:sz w:val="24"/>
          <w:szCs w:val="24"/>
        </w:rPr>
        <w:t>)</w:t>
      </w:r>
      <w:r w:rsidRPr="00EF5E9F">
        <w:rPr>
          <w:sz w:val="24"/>
          <w:szCs w:val="24"/>
        </w:rPr>
        <w:t xml:space="preserve"> deficits at </w:t>
      </w:r>
      <w:r w:rsidR="00E87558">
        <w:rPr>
          <w:sz w:val="24"/>
          <w:szCs w:val="24"/>
        </w:rPr>
        <w:t>July 1, 201</w:t>
      </w:r>
      <w:r w:rsidR="00C715CF">
        <w:rPr>
          <w:sz w:val="24"/>
          <w:szCs w:val="24"/>
        </w:rPr>
        <w:t>6</w:t>
      </w:r>
      <w:r w:rsidRPr="00EF5E9F">
        <w:rPr>
          <w:sz w:val="24"/>
          <w:szCs w:val="24"/>
        </w:rPr>
        <w:t xml:space="preserve"> reveals the following funds with deficits </w:t>
      </w:r>
      <w:r w:rsidR="00E87558">
        <w:rPr>
          <w:sz w:val="24"/>
          <w:szCs w:val="24"/>
        </w:rPr>
        <w:t>over</w:t>
      </w:r>
      <w:r w:rsidRPr="00EF5E9F">
        <w:rPr>
          <w:sz w:val="24"/>
          <w:szCs w:val="24"/>
        </w:rPr>
        <w:t xml:space="preserve"> $500</w:t>
      </w:r>
      <w:r w:rsidR="00E87558">
        <w:rPr>
          <w:sz w:val="24"/>
          <w:szCs w:val="24"/>
        </w:rPr>
        <w:t xml:space="preserve">,000. </w:t>
      </w:r>
      <w:r w:rsidRPr="00EF5E9F">
        <w:rPr>
          <w:sz w:val="24"/>
          <w:szCs w:val="24"/>
        </w:rPr>
        <w:t xml:space="preserve">  </w:t>
      </w:r>
    </w:p>
    <w:p w14:paraId="448EF0C4" w14:textId="61D417CE" w:rsidR="007A4EEA" w:rsidRPr="001C61D9" w:rsidRDefault="00A64AF7" w:rsidP="00EC6BB5">
      <w:pPr>
        <w:pStyle w:val="ListParagraph"/>
        <w:ind w:left="1080"/>
      </w:pPr>
      <w:r w:rsidRPr="00A64AF7">
        <w:rPr>
          <w:noProof/>
        </w:rPr>
        <w:t xml:space="preserve"> </w:t>
      </w:r>
      <w:r w:rsidRPr="00A64AF7">
        <w:rPr>
          <w:noProof/>
        </w:rPr>
        <w:drawing>
          <wp:inline distT="0" distB="0" distL="0" distR="0" wp14:anchorId="76A46FF2" wp14:editId="36412A95">
            <wp:extent cx="5132333" cy="16854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1165" cy="1688398"/>
                    </a:xfrm>
                    <a:prstGeom prst="rect">
                      <a:avLst/>
                    </a:prstGeom>
                  </pic:spPr>
                </pic:pic>
              </a:graphicData>
            </a:graphic>
          </wp:inline>
        </w:drawing>
      </w:r>
    </w:p>
    <w:p w14:paraId="3AB770C3" w14:textId="77777777" w:rsidR="007A4EEA" w:rsidRPr="001C61D9" w:rsidRDefault="007A4EEA" w:rsidP="00494DE8">
      <w:pPr>
        <w:pStyle w:val="ListParagraph"/>
        <w:ind w:left="1080"/>
      </w:pPr>
    </w:p>
    <w:p w14:paraId="2214F0A9" w14:textId="51322991" w:rsidR="007A4EEA" w:rsidRPr="00ED5577" w:rsidRDefault="007A4EEA" w:rsidP="00494DE8">
      <w:pPr>
        <w:ind w:left="1080"/>
        <w:rPr>
          <w:sz w:val="24"/>
          <w:szCs w:val="24"/>
        </w:rPr>
      </w:pPr>
      <w:r w:rsidRPr="00EF5E9F">
        <w:rPr>
          <w:sz w:val="24"/>
          <w:szCs w:val="24"/>
        </w:rPr>
        <w:t>We were able to obtain satisfactory explanations and action plans for the deficits above (some are being tracked as part of a M</w:t>
      </w:r>
      <w:r w:rsidR="00E87558">
        <w:rPr>
          <w:sz w:val="24"/>
          <w:szCs w:val="24"/>
        </w:rPr>
        <w:t>anagement Corrective Action (M</w:t>
      </w:r>
      <w:r w:rsidRPr="00EF5E9F">
        <w:rPr>
          <w:sz w:val="24"/>
          <w:szCs w:val="24"/>
        </w:rPr>
        <w:t>CA</w:t>
      </w:r>
      <w:r w:rsidR="00556435">
        <w:rPr>
          <w:sz w:val="24"/>
          <w:szCs w:val="24"/>
        </w:rPr>
        <w:t>)</w:t>
      </w:r>
      <w:r w:rsidRPr="00EF5E9F">
        <w:rPr>
          <w:sz w:val="24"/>
          <w:szCs w:val="24"/>
        </w:rPr>
        <w:t xml:space="preserve"> in R2016-11</w:t>
      </w:r>
      <w:r w:rsidR="00B121E6">
        <w:rPr>
          <w:sz w:val="24"/>
          <w:szCs w:val="24"/>
        </w:rPr>
        <w:t>)</w:t>
      </w:r>
      <w:r w:rsidR="00F06C05">
        <w:rPr>
          <w:sz w:val="24"/>
          <w:szCs w:val="24"/>
        </w:rPr>
        <w:t>.</w:t>
      </w:r>
    </w:p>
    <w:p w14:paraId="0334D6CF" w14:textId="77777777" w:rsidR="00A64AF7" w:rsidRDefault="00A64AF7" w:rsidP="00494DE8">
      <w:pPr>
        <w:pStyle w:val="ListParagraph"/>
        <w:ind w:left="1080"/>
        <w:rPr>
          <w:sz w:val="24"/>
          <w:szCs w:val="24"/>
        </w:rPr>
      </w:pPr>
    </w:p>
    <w:p w14:paraId="6B039A9E" w14:textId="5DF55731" w:rsidR="007A4EEA" w:rsidRPr="00EF5E9F" w:rsidRDefault="007A4EEA" w:rsidP="00EC6BB5">
      <w:pPr>
        <w:overflowPunct/>
        <w:autoSpaceDE/>
        <w:autoSpaceDN/>
        <w:adjustRightInd/>
        <w:ind w:left="1080"/>
        <w:textAlignment w:val="auto"/>
        <w:rPr>
          <w:sz w:val="24"/>
          <w:szCs w:val="24"/>
        </w:rPr>
      </w:pPr>
      <w:r w:rsidRPr="00EF5E9F">
        <w:rPr>
          <w:sz w:val="24"/>
          <w:szCs w:val="24"/>
        </w:rPr>
        <w:t>An analysis of sur</w:t>
      </w:r>
      <w:r w:rsidR="005F37D5" w:rsidRPr="005F37D5">
        <w:rPr>
          <w:sz w:val="24"/>
          <w:szCs w:val="24"/>
        </w:rPr>
        <w:t xml:space="preserve">plus balances </w:t>
      </w:r>
      <w:r w:rsidR="00E87558">
        <w:rPr>
          <w:sz w:val="24"/>
          <w:szCs w:val="24"/>
        </w:rPr>
        <w:t>greater</w:t>
      </w:r>
      <w:r w:rsidR="00912D73">
        <w:rPr>
          <w:sz w:val="24"/>
          <w:szCs w:val="24"/>
        </w:rPr>
        <w:t xml:space="preserve"> than</w:t>
      </w:r>
      <w:r w:rsidR="005F37D5" w:rsidRPr="005F37D5">
        <w:rPr>
          <w:sz w:val="24"/>
          <w:szCs w:val="24"/>
        </w:rPr>
        <w:t xml:space="preserve"> $</w:t>
      </w:r>
      <w:r w:rsidR="009350F4">
        <w:rPr>
          <w:sz w:val="24"/>
          <w:szCs w:val="24"/>
        </w:rPr>
        <w:t>1,0</w:t>
      </w:r>
      <w:r w:rsidR="005F37D5" w:rsidRPr="005F37D5">
        <w:rPr>
          <w:sz w:val="24"/>
          <w:szCs w:val="24"/>
        </w:rPr>
        <w:t>00</w:t>
      </w:r>
      <w:r w:rsidR="00E87558">
        <w:rPr>
          <w:sz w:val="24"/>
          <w:szCs w:val="24"/>
        </w:rPr>
        <w:t>,000</w:t>
      </w:r>
      <w:r w:rsidR="005F37D5" w:rsidRPr="005F37D5">
        <w:rPr>
          <w:sz w:val="24"/>
          <w:szCs w:val="24"/>
        </w:rPr>
        <w:t xml:space="preserve"> at </w:t>
      </w:r>
      <w:r w:rsidR="00E87558">
        <w:rPr>
          <w:sz w:val="24"/>
          <w:szCs w:val="24"/>
        </w:rPr>
        <w:t>July 1, 201</w:t>
      </w:r>
      <w:r w:rsidR="00C715CF">
        <w:rPr>
          <w:sz w:val="24"/>
          <w:szCs w:val="24"/>
        </w:rPr>
        <w:t>6</w:t>
      </w:r>
      <w:r w:rsidR="00E87558">
        <w:rPr>
          <w:sz w:val="24"/>
          <w:szCs w:val="24"/>
        </w:rPr>
        <w:t xml:space="preserve"> (all B</w:t>
      </w:r>
      <w:r w:rsidR="00912D73">
        <w:rPr>
          <w:sz w:val="24"/>
          <w:szCs w:val="24"/>
        </w:rPr>
        <w:t xml:space="preserve">usiness </w:t>
      </w:r>
      <w:r w:rsidR="00E87558">
        <w:rPr>
          <w:sz w:val="24"/>
          <w:szCs w:val="24"/>
        </w:rPr>
        <w:t>A</w:t>
      </w:r>
      <w:r w:rsidR="00912D73">
        <w:rPr>
          <w:sz w:val="24"/>
          <w:szCs w:val="24"/>
        </w:rPr>
        <w:t>dministrative Services (BA</w:t>
      </w:r>
      <w:r w:rsidR="00E87558">
        <w:rPr>
          <w:sz w:val="24"/>
          <w:szCs w:val="24"/>
        </w:rPr>
        <w:t>S</w:t>
      </w:r>
      <w:r w:rsidR="00912D73">
        <w:rPr>
          <w:sz w:val="24"/>
          <w:szCs w:val="24"/>
        </w:rPr>
        <w:t>)</w:t>
      </w:r>
      <w:r w:rsidR="00E87558">
        <w:rPr>
          <w:sz w:val="24"/>
          <w:szCs w:val="24"/>
        </w:rPr>
        <w:t xml:space="preserve"> related)</w:t>
      </w:r>
      <w:r w:rsidR="005F37D5" w:rsidRPr="005F37D5">
        <w:rPr>
          <w:sz w:val="24"/>
          <w:szCs w:val="24"/>
        </w:rPr>
        <w:t xml:space="preserve"> follows.  </w:t>
      </w:r>
    </w:p>
    <w:p w14:paraId="044F8CA6" w14:textId="2B12D9F4" w:rsidR="007A4EEA" w:rsidRDefault="007A4EEA" w:rsidP="00EF5E9F">
      <w:pPr>
        <w:pStyle w:val="ListParagraph"/>
      </w:pPr>
    </w:p>
    <w:p w14:paraId="0D4032AC" w14:textId="691480A4" w:rsidR="005F37D5" w:rsidRPr="001C61D9" w:rsidRDefault="009350F4" w:rsidP="00D952E6">
      <w:pPr>
        <w:pStyle w:val="ListParagraph"/>
        <w:ind w:left="1080" w:hanging="90"/>
      </w:pPr>
      <w:r w:rsidRPr="009350F4">
        <w:rPr>
          <w:noProof/>
        </w:rPr>
        <w:t xml:space="preserve"> </w:t>
      </w:r>
      <w:r w:rsidRPr="009350F4">
        <w:rPr>
          <w:noProof/>
        </w:rPr>
        <w:drawing>
          <wp:inline distT="0" distB="0" distL="0" distR="0" wp14:anchorId="26B8BA10" wp14:editId="541600F5">
            <wp:extent cx="4524233" cy="83022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4847" cy="848683"/>
                    </a:xfrm>
                    <a:prstGeom prst="rect">
                      <a:avLst/>
                    </a:prstGeom>
                  </pic:spPr>
                </pic:pic>
              </a:graphicData>
            </a:graphic>
          </wp:inline>
        </w:drawing>
      </w:r>
    </w:p>
    <w:p w14:paraId="7AD3697C" w14:textId="77777777" w:rsidR="007A4EEA" w:rsidRPr="001C61D9" w:rsidRDefault="007A4EEA" w:rsidP="007A4EEA">
      <w:pPr>
        <w:pStyle w:val="ListParagraph"/>
        <w:ind w:left="360"/>
      </w:pPr>
    </w:p>
    <w:p w14:paraId="1B82A832" w14:textId="281ED14A" w:rsidR="007A4EEA" w:rsidRPr="00EF5E9F" w:rsidRDefault="007A4EEA" w:rsidP="00494DE8">
      <w:pPr>
        <w:pStyle w:val="ListParagraph"/>
        <w:ind w:left="1080"/>
        <w:rPr>
          <w:sz w:val="24"/>
          <w:szCs w:val="24"/>
        </w:rPr>
      </w:pPr>
      <w:r w:rsidRPr="007A4EEA">
        <w:rPr>
          <w:sz w:val="24"/>
          <w:szCs w:val="24"/>
        </w:rPr>
        <w:t xml:space="preserve">We </w:t>
      </w:r>
      <w:r w:rsidRPr="00EF5E9F">
        <w:rPr>
          <w:sz w:val="24"/>
          <w:szCs w:val="24"/>
        </w:rPr>
        <w:t>obtain</w:t>
      </w:r>
      <w:r>
        <w:rPr>
          <w:sz w:val="24"/>
          <w:szCs w:val="24"/>
        </w:rPr>
        <w:t>ed</w:t>
      </w:r>
      <w:r w:rsidRPr="00EF5E9F">
        <w:rPr>
          <w:sz w:val="24"/>
          <w:szCs w:val="24"/>
        </w:rPr>
        <w:t xml:space="preserve"> </w:t>
      </w:r>
      <w:r w:rsidR="00151DE8">
        <w:rPr>
          <w:sz w:val="24"/>
          <w:szCs w:val="24"/>
        </w:rPr>
        <w:t xml:space="preserve">satisfactory </w:t>
      </w:r>
      <w:r w:rsidRPr="00EF5E9F">
        <w:rPr>
          <w:sz w:val="24"/>
          <w:szCs w:val="24"/>
        </w:rPr>
        <w:t xml:space="preserve">explanations </w:t>
      </w:r>
      <w:r w:rsidR="00151DE8">
        <w:rPr>
          <w:sz w:val="24"/>
          <w:szCs w:val="24"/>
        </w:rPr>
        <w:t xml:space="preserve">supporting </w:t>
      </w:r>
      <w:r w:rsidRPr="00EF5E9F">
        <w:rPr>
          <w:sz w:val="24"/>
          <w:szCs w:val="24"/>
        </w:rPr>
        <w:t xml:space="preserve">these surpluses.  </w:t>
      </w:r>
    </w:p>
    <w:p w14:paraId="2232A63F" w14:textId="77777777" w:rsidR="003B2851" w:rsidRDefault="003B2851" w:rsidP="00EF5E9F">
      <w:pPr>
        <w:pStyle w:val="NoSpacing"/>
        <w:ind w:left="1140"/>
        <w:rPr>
          <w:b/>
          <w:sz w:val="24"/>
          <w:szCs w:val="24"/>
          <w:u w:val="single"/>
        </w:rPr>
      </w:pPr>
    </w:p>
    <w:p w14:paraId="7DA358A1" w14:textId="68E56EE9" w:rsidR="003B2851" w:rsidRPr="00EF5E9F" w:rsidRDefault="003B2851" w:rsidP="00494DE8">
      <w:pPr>
        <w:pStyle w:val="NoSpacing"/>
        <w:numPr>
          <w:ilvl w:val="0"/>
          <w:numId w:val="44"/>
        </w:numPr>
        <w:ind w:left="1080" w:hanging="360"/>
        <w:rPr>
          <w:b/>
          <w:sz w:val="24"/>
          <w:szCs w:val="24"/>
          <w:u w:val="single"/>
        </w:rPr>
      </w:pPr>
      <w:r>
        <w:rPr>
          <w:b/>
          <w:sz w:val="24"/>
          <w:szCs w:val="24"/>
          <w:u w:val="single"/>
        </w:rPr>
        <w:t>C</w:t>
      </w:r>
      <w:r w:rsidR="00151DE8">
        <w:rPr>
          <w:b/>
          <w:sz w:val="24"/>
          <w:szCs w:val="24"/>
          <w:u w:val="single"/>
        </w:rPr>
        <w:t xml:space="preserve">ontracts </w:t>
      </w:r>
      <w:r>
        <w:rPr>
          <w:b/>
          <w:sz w:val="24"/>
          <w:szCs w:val="24"/>
          <w:u w:val="single"/>
        </w:rPr>
        <w:t>&amp;</w:t>
      </w:r>
      <w:r w:rsidR="00151DE8">
        <w:rPr>
          <w:b/>
          <w:sz w:val="24"/>
          <w:szCs w:val="24"/>
          <w:u w:val="single"/>
        </w:rPr>
        <w:t xml:space="preserve"> </w:t>
      </w:r>
      <w:r>
        <w:rPr>
          <w:b/>
          <w:sz w:val="24"/>
          <w:szCs w:val="24"/>
          <w:u w:val="single"/>
        </w:rPr>
        <w:t>G</w:t>
      </w:r>
      <w:r w:rsidR="00151DE8">
        <w:rPr>
          <w:b/>
          <w:sz w:val="24"/>
          <w:szCs w:val="24"/>
          <w:u w:val="single"/>
        </w:rPr>
        <w:t>rants</w:t>
      </w:r>
      <w:r>
        <w:rPr>
          <w:b/>
          <w:sz w:val="24"/>
          <w:szCs w:val="24"/>
          <w:u w:val="single"/>
        </w:rPr>
        <w:t xml:space="preserve"> </w:t>
      </w:r>
      <w:r w:rsidRPr="0012062A">
        <w:rPr>
          <w:b/>
          <w:sz w:val="24"/>
          <w:szCs w:val="24"/>
          <w:u w:val="single"/>
        </w:rPr>
        <w:t>Deficits</w:t>
      </w:r>
    </w:p>
    <w:p w14:paraId="6BEB956A" w14:textId="77777777" w:rsidR="006F1CF4" w:rsidRDefault="006F1CF4" w:rsidP="00494DE8">
      <w:pPr>
        <w:pStyle w:val="NoSpacing"/>
        <w:ind w:left="1080" w:hanging="360"/>
        <w:rPr>
          <w:sz w:val="24"/>
          <w:szCs w:val="24"/>
        </w:rPr>
      </w:pPr>
    </w:p>
    <w:p w14:paraId="43831C00" w14:textId="2ACAB376" w:rsidR="002C3844" w:rsidRDefault="00AF3B44" w:rsidP="00D952E6">
      <w:pPr>
        <w:ind w:left="1080"/>
        <w:rPr>
          <w:bCs/>
          <w:sz w:val="24"/>
          <w:szCs w:val="24"/>
        </w:rPr>
      </w:pPr>
      <w:r>
        <w:rPr>
          <w:bCs/>
          <w:sz w:val="24"/>
          <w:szCs w:val="24"/>
        </w:rPr>
        <w:t>Total</w:t>
      </w:r>
      <w:r w:rsidR="00394DB5" w:rsidRPr="008A1F50">
        <w:rPr>
          <w:bCs/>
          <w:sz w:val="24"/>
          <w:szCs w:val="24"/>
        </w:rPr>
        <w:t xml:space="preserve"> C&amp;G deficits </w:t>
      </w:r>
      <w:r w:rsidR="00D46C60">
        <w:rPr>
          <w:bCs/>
          <w:sz w:val="24"/>
          <w:szCs w:val="24"/>
        </w:rPr>
        <w:t>have not changed</w:t>
      </w:r>
      <w:r w:rsidR="00D46C60" w:rsidRPr="008A1F50">
        <w:rPr>
          <w:bCs/>
          <w:sz w:val="24"/>
          <w:szCs w:val="24"/>
        </w:rPr>
        <w:t xml:space="preserve"> </w:t>
      </w:r>
      <w:r w:rsidR="00513E75">
        <w:rPr>
          <w:bCs/>
          <w:sz w:val="24"/>
          <w:szCs w:val="24"/>
        </w:rPr>
        <w:t>significantly</w:t>
      </w:r>
      <w:r w:rsidR="00D46C60">
        <w:rPr>
          <w:bCs/>
          <w:sz w:val="24"/>
          <w:szCs w:val="24"/>
        </w:rPr>
        <w:t xml:space="preserve"> </w:t>
      </w:r>
      <w:r w:rsidR="00394DB5" w:rsidRPr="008A1F50">
        <w:rPr>
          <w:bCs/>
          <w:sz w:val="24"/>
          <w:szCs w:val="24"/>
        </w:rPr>
        <w:t>(from $</w:t>
      </w:r>
      <w:r w:rsidR="00D46C60">
        <w:rPr>
          <w:bCs/>
          <w:sz w:val="24"/>
          <w:szCs w:val="24"/>
        </w:rPr>
        <w:t>331</w:t>
      </w:r>
      <w:r w:rsidR="00E96A26">
        <w:rPr>
          <w:bCs/>
          <w:sz w:val="24"/>
          <w:szCs w:val="24"/>
        </w:rPr>
        <w:t>k</w:t>
      </w:r>
      <w:r w:rsidR="00394DB5" w:rsidRPr="008A1F50">
        <w:rPr>
          <w:bCs/>
          <w:sz w:val="24"/>
          <w:szCs w:val="24"/>
        </w:rPr>
        <w:t xml:space="preserve"> to $</w:t>
      </w:r>
      <w:r w:rsidR="00D46C60">
        <w:rPr>
          <w:bCs/>
          <w:sz w:val="24"/>
          <w:szCs w:val="24"/>
        </w:rPr>
        <w:t>339</w:t>
      </w:r>
      <w:r w:rsidR="00E96A26">
        <w:rPr>
          <w:bCs/>
          <w:sz w:val="24"/>
          <w:szCs w:val="24"/>
        </w:rPr>
        <w:t>k</w:t>
      </w:r>
      <w:r w:rsidR="00394DB5" w:rsidRPr="008A1F50">
        <w:rPr>
          <w:bCs/>
          <w:sz w:val="24"/>
          <w:szCs w:val="24"/>
        </w:rPr>
        <w:t xml:space="preserve">) from </w:t>
      </w:r>
      <w:r w:rsidR="00D46C60">
        <w:rPr>
          <w:bCs/>
          <w:sz w:val="24"/>
          <w:szCs w:val="24"/>
        </w:rPr>
        <w:t xml:space="preserve">April </w:t>
      </w:r>
      <w:r w:rsidR="00E96A26">
        <w:rPr>
          <w:bCs/>
          <w:sz w:val="24"/>
          <w:szCs w:val="24"/>
        </w:rPr>
        <w:t>30, 2016</w:t>
      </w:r>
      <w:r w:rsidR="00394DB5" w:rsidRPr="008A1F50">
        <w:rPr>
          <w:bCs/>
          <w:sz w:val="24"/>
          <w:szCs w:val="24"/>
        </w:rPr>
        <w:t xml:space="preserve"> to </w:t>
      </w:r>
      <w:r w:rsidR="00D46C60">
        <w:rPr>
          <w:bCs/>
          <w:sz w:val="24"/>
          <w:szCs w:val="24"/>
        </w:rPr>
        <w:t>April</w:t>
      </w:r>
      <w:r w:rsidR="00D76E7F">
        <w:rPr>
          <w:bCs/>
          <w:sz w:val="24"/>
          <w:szCs w:val="24"/>
        </w:rPr>
        <w:t xml:space="preserve"> </w:t>
      </w:r>
      <w:r w:rsidR="00E96A26">
        <w:rPr>
          <w:bCs/>
          <w:sz w:val="24"/>
          <w:szCs w:val="24"/>
        </w:rPr>
        <w:t>30, 2017</w:t>
      </w:r>
      <w:r w:rsidR="00394DB5" w:rsidRPr="008A1F50">
        <w:rPr>
          <w:bCs/>
          <w:sz w:val="24"/>
          <w:szCs w:val="24"/>
        </w:rPr>
        <w:t xml:space="preserve">.  C&amp;G </w:t>
      </w:r>
      <w:r w:rsidR="00E96A26">
        <w:rPr>
          <w:bCs/>
          <w:sz w:val="24"/>
          <w:szCs w:val="24"/>
        </w:rPr>
        <w:t>d</w:t>
      </w:r>
      <w:r w:rsidR="00394DB5" w:rsidRPr="008A1F50">
        <w:rPr>
          <w:bCs/>
          <w:sz w:val="24"/>
          <w:szCs w:val="24"/>
        </w:rPr>
        <w:t xml:space="preserve">eficits were </w:t>
      </w:r>
      <w:r>
        <w:rPr>
          <w:bCs/>
          <w:sz w:val="24"/>
          <w:szCs w:val="24"/>
        </w:rPr>
        <w:t>reported</w:t>
      </w:r>
      <w:r w:rsidR="00394DB5" w:rsidRPr="008A1F50">
        <w:rPr>
          <w:bCs/>
          <w:sz w:val="24"/>
          <w:szCs w:val="24"/>
        </w:rPr>
        <w:t xml:space="preserve"> </w:t>
      </w:r>
      <w:r w:rsidR="00E96A26">
        <w:rPr>
          <w:bCs/>
          <w:sz w:val="24"/>
          <w:szCs w:val="24"/>
        </w:rPr>
        <w:t xml:space="preserve">in detail </w:t>
      </w:r>
      <w:r w:rsidR="00394DB5" w:rsidRPr="008A1F50">
        <w:rPr>
          <w:bCs/>
          <w:sz w:val="24"/>
          <w:szCs w:val="24"/>
        </w:rPr>
        <w:t xml:space="preserve">in </w:t>
      </w:r>
      <w:r w:rsidR="00E96A26">
        <w:rPr>
          <w:bCs/>
          <w:sz w:val="24"/>
          <w:szCs w:val="24"/>
        </w:rPr>
        <w:t>our</w:t>
      </w:r>
      <w:r w:rsidR="00394DB5" w:rsidRPr="008A1F50">
        <w:rPr>
          <w:bCs/>
          <w:sz w:val="24"/>
          <w:szCs w:val="24"/>
        </w:rPr>
        <w:t xml:space="preserve"> Analytic Review </w:t>
      </w:r>
      <w:r w:rsidR="00E96A26">
        <w:rPr>
          <w:bCs/>
          <w:sz w:val="24"/>
          <w:szCs w:val="24"/>
        </w:rPr>
        <w:t>a</w:t>
      </w:r>
      <w:r w:rsidR="00394DB5" w:rsidRPr="008A1F50">
        <w:rPr>
          <w:bCs/>
          <w:sz w:val="24"/>
          <w:szCs w:val="24"/>
        </w:rPr>
        <w:t>ud</w:t>
      </w:r>
      <w:r w:rsidRPr="008A1F50">
        <w:rPr>
          <w:bCs/>
          <w:sz w:val="24"/>
          <w:szCs w:val="24"/>
        </w:rPr>
        <w:t>it</w:t>
      </w:r>
      <w:r w:rsidR="00E96A26">
        <w:rPr>
          <w:bCs/>
          <w:sz w:val="24"/>
          <w:szCs w:val="24"/>
        </w:rPr>
        <w:t xml:space="preserve"> (R2016-11).  </w:t>
      </w:r>
    </w:p>
    <w:p w14:paraId="3D538EA8" w14:textId="77777777" w:rsidR="00D46C60" w:rsidRDefault="00D46C60" w:rsidP="00494DE8">
      <w:pPr>
        <w:ind w:left="1080" w:hanging="360"/>
        <w:rPr>
          <w:bCs/>
          <w:sz w:val="24"/>
          <w:szCs w:val="24"/>
        </w:rPr>
      </w:pPr>
    </w:p>
    <w:p w14:paraId="59BE8EBB" w14:textId="5249F706" w:rsidR="00D46C60" w:rsidRDefault="00D46C60" w:rsidP="00EC6BB5">
      <w:pPr>
        <w:ind w:left="1440" w:hanging="360"/>
        <w:rPr>
          <w:bCs/>
          <w:sz w:val="24"/>
          <w:szCs w:val="24"/>
        </w:rPr>
      </w:pPr>
      <w:r w:rsidRPr="00D46C60">
        <w:rPr>
          <w:bCs/>
          <w:noProof/>
          <w:sz w:val="24"/>
          <w:szCs w:val="24"/>
        </w:rPr>
        <w:drawing>
          <wp:inline distT="0" distB="0" distL="0" distR="0" wp14:anchorId="7A96861B" wp14:editId="737BC72B">
            <wp:extent cx="4951829" cy="3633716"/>
            <wp:effectExtent l="0" t="0" r="127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9025" cy="3646335"/>
                    </a:xfrm>
                    <a:prstGeom prst="rect">
                      <a:avLst/>
                    </a:prstGeom>
                  </pic:spPr>
                </pic:pic>
              </a:graphicData>
            </a:graphic>
          </wp:inline>
        </w:drawing>
      </w:r>
    </w:p>
    <w:p w14:paraId="16521B3C" w14:textId="77777777" w:rsidR="00D46C60" w:rsidRDefault="00D46C60" w:rsidP="00494DE8">
      <w:pPr>
        <w:pStyle w:val="ListParagraph"/>
        <w:ind w:left="1080" w:hanging="360"/>
        <w:rPr>
          <w:bCs/>
          <w:sz w:val="24"/>
          <w:szCs w:val="24"/>
        </w:rPr>
      </w:pPr>
    </w:p>
    <w:p w14:paraId="55629F47" w14:textId="51EC3E5A" w:rsidR="00C630C9" w:rsidRDefault="00C630C9" w:rsidP="00D952E6">
      <w:pPr>
        <w:pStyle w:val="ListParagraph"/>
        <w:ind w:left="1080"/>
        <w:rPr>
          <w:bCs/>
          <w:sz w:val="24"/>
          <w:szCs w:val="24"/>
        </w:rPr>
      </w:pPr>
      <w:r w:rsidRPr="0012062A">
        <w:rPr>
          <w:bCs/>
          <w:sz w:val="24"/>
          <w:szCs w:val="24"/>
        </w:rPr>
        <w:t xml:space="preserve">Overdrafts </w:t>
      </w:r>
      <w:r w:rsidR="00E96A26">
        <w:rPr>
          <w:bCs/>
          <w:sz w:val="24"/>
          <w:szCs w:val="24"/>
        </w:rPr>
        <w:t>may</w:t>
      </w:r>
      <w:r w:rsidR="00E96A26" w:rsidRPr="0012062A">
        <w:rPr>
          <w:bCs/>
          <w:sz w:val="24"/>
          <w:szCs w:val="24"/>
        </w:rPr>
        <w:t xml:space="preserve"> </w:t>
      </w:r>
      <w:r w:rsidRPr="0012062A">
        <w:rPr>
          <w:bCs/>
          <w:sz w:val="24"/>
          <w:szCs w:val="24"/>
        </w:rPr>
        <w:t xml:space="preserve">imply that the University does not have proper controls in place to prevent or detect unallowed expenditures in a timely manner.  Overdrafts inhibit </w:t>
      </w:r>
      <w:r w:rsidR="00E96A26">
        <w:rPr>
          <w:bCs/>
          <w:sz w:val="24"/>
          <w:szCs w:val="24"/>
        </w:rPr>
        <w:t>the C</w:t>
      </w:r>
      <w:r w:rsidRPr="0012062A">
        <w:rPr>
          <w:bCs/>
          <w:sz w:val="24"/>
          <w:szCs w:val="24"/>
        </w:rPr>
        <w:t xml:space="preserve">entral </w:t>
      </w:r>
      <w:r w:rsidR="00E96A26">
        <w:rPr>
          <w:bCs/>
          <w:sz w:val="24"/>
          <w:szCs w:val="24"/>
        </w:rPr>
        <w:t>A</w:t>
      </w:r>
      <w:r w:rsidRPr="0012062A">
        <w:rPr>
          <w:bCs/>
          <w:sz w:val="24"/>
          <w:szCs w:val="24"/>
        </w:rPr>
        <w:t>ccounting</w:t>
      </w:r>
      <w:r w:rsidR="00E96A26">
        <w:rPr>
          <w:bCs/>
          <w:sz w:val="24"/>
          <w:szCs w:val="24"/>
        </w:rPr>
        <w:t xml:space="preserve"> Offices</w:t>
      </w:r>
      <w:r w:rsidRPr="0012062A">
        <w:rPr>
          <w:bCs/>
          <w:sz w:val="24"/>
          <w:szCs w:val="24"/>
        </w:rPr>
        <w:t>’ ability to bill or close out contract</w:t>
      </w:r>
      <w:r w:rsidR="00E96A26">
        <w:rPr>
          <w:bCs/>
          <w:sz w:val="24"/>
          <w:szCs w:val="24"/>
        </w:rPr>
        <w:t>s</w:t>
      </w:r>
      <w:r w:rsidRPr="0012062A">
        <w:rPr>
          <w:bCs/>
          <w:sz w:val="24"/>
          <w:szCs w:val="24"/>
        </w:rPr>
        <w:t xml:space="preserve"> in a timely manner as required by sponsors</w:t>
      </w:r>
      <w:r w:rsidR="00E96A26">
        <w:rPr>
          <w:bCs/>
          <w:sz w:val="24"/>
          <w:szCs w:val="24"/>
        </w:rPr>
        <w:t xml:space="preserve"> which </w:t>
      </w:r>
      <w:r w:rsidRPr="0012062A">
        <w:rPr>
          <w:bCs/>
          <w:sz w:val="24"/>
          <w:szCs w:val="24"/>
        </w:rPr>
        <w:t>could lead to fines</w:t>
      </w:r>
      <w:r w:rsidR="00E96A26">
        <w:rPr>
          <w:bCs/>
          <w:sz w:val="24"/>
          <w:szCs w:val="24"/>
        </w:rPr>
        <w:t xml:space="preserve">, </w:t>
      </w:r>
      <w:r w:rsidRPr="0012062A">
        <w:rPr>
          <w:bCs/>
          <w:sz w:val="24"/>
          <w:szCs w:val="24"/>
        </w:rPr>
        <w:t>disallowances</w:t>
      </w:r>
      <w:r w:rsidR="00E96A26">
        <w:rPr>
          <w:bCs/>
          <w:sz w:val="24"/>
          <w:szCs w:val="24"/>
        </w:rPr>
        <w:t>,</w:t>
      </w:r>
      <w:r w:rsidRPr="0012062A">
        <w:rPr>
          <w:bCs/>
          <w:sz w:val="24"/>
          <w:szCs w:val="24"/>
        </w:rPr>
        <w:t xml:space="preserve"> </w:t>
      </w:r>
      <w:r w:rsidR="00EA6D47">
        <w:rPr>
          <w:bCs/>
          <w:sz w:val="24"/>
          <w:szCs w:val="24"/>
        </w:rPr>
        <w:t>etc</w:t>
      </w:r>
      <w:r w:rsidRPr="0012062A">
        <w:rPr>
          <w:bCs/>
          <w:sz w:val="24"/>
          <w:szCs w:val="24"/>
        </w:rPr>
        <w:t>.  Ultimately</w:t>
      </w:r>
      <w:r w:rsidR="00AF3B44">
        <w:rPr>
          <w:bCs/>
          <w:sz w:val="24"/>
          <w:szCs w:val="24"/>
        </w:rPr>
        <w:t>,</w:t>
      </w:r>
      <w:r w:rsidRPr="0012062A">
        <w:rPr>
          <w:bCs/>
          <w:sz w:val="24"/>
          <w:szCs w:val="24"/>
        </w:rPr>
        <w:t xml:space="preserve"> overdrafts need to be moved to other funding sources</w:t>
      </w:r>
      <w:r w:rsidR="00E96A26">
        <w:rPr>
          <w:bCs/>
          <w:sz w:val="24"/>
          <w:szCs w:val="24"/>
        </w:rPr>
        <w:t xml:space="preserve">.  If it </w:t>
      </w:r>
      <w:r w:rsidR="001F57BF">
        <w:rPr>
          <w:bCs/>
          <w:sz w:val="24"/>
          <w:szCs w:val="24"/>
        </w:rPr>
        <w:t>involves</w:t>
      </w:r>
      <w:r w:rsidRPr="0012062A">
        <w:rPr>
          <w:bCs/>
          <w:sz w:val="24"/>
          <w:szCs w:val="24"/>
        </w:rPr>
        <w:t xml:space="preserve"> C&amp;G funding </w:t>
      </w:r>
      <w:r w:rsidR="001F57BF">
        <w:rPr>
          <w:bCs/>
          <w:sz w:val="24"/>
          <w:szCs w:val="24"/>
        </w:rPr>
        <w:t xml:space="preserve">sources, </w:t>
      </w:r>
      <w:r w:rsidRPr="0012062A">
        <w:rPr>
          <w:bCs/>
          <w:sz w:val="24"/>
          <w:szCs w:val="24"/>
        </w:rPr>
        <w:t>then they need to be moved within 120 days and require appropriate approvals and documentation.  Agency a</w:t>
      </w:r>
      <w:r w:rsidR="006A5D03">
        <w:rPr>
          <w:bCs/>
          <w:sz w:val="24"/>
          <w:szCs w:val="24"/>
        </w:rPr>
        <w:t xml:space="preserve">uditors consider late cost transfers </w:t>
      </w:r>
      <w:r w:rsidRPr="0012062A">
        <w:rPr>
          <w:bCs/>
          <w:sz w:val="24"/>
          <w:szCs w:val="24"/>
        </w:rPr>
        <w:t>to be high risk transactions</w:t>
      </w:r>
      <w:r w:rsidR="002232AE">
        <w:rPr>
          <w:bCs/>
          <w:sz w:val="24"/>
          <w:szCs w:val="24"/>
        </w:rPr>
        <w:t xml:space="preserve"> that </w:t>
      </w:r>
      <w:r w:rsidR="00151DE8">
        <w:rPr>
          <w:bCs/>
          <w:sz w:val="24"/>
          <w:szCs w:val="24"/>
        </w:rPr>
        <w:t>may be considered “</w:t>
      </w:r>
      <w:r w:rsidR="002232AE">
        <w:rPr>
          <w:bCs/>
          <w:sz w:val="24"/>
          <w:szCs w:val="24"/>
        </w:rPr>
        <w:t>red-flags</w:t>
      </w:r>
      <w:r w:rsidR="00151DE8">
        <w:rPr>
          <w:bCs/>
          <w:sz w:val="24"/>
          <w:szCs w:val="24"/>
        </w:rPr>
        <w:t>”</w:t>
      </w:r>
      <w:r w:rsidR="002232AE">
        <w:rPr>
          <w:bCs/>
          <w:sz w:val="24"/>
          <w:szCs w:val="24"/>
        </w:rPr>
        <w:t xml:space="preserve"> for additional inquiries and audits</w:t>
      </w:r>
      <w:r w:rsidRPr="0012062A">
        <w:rPr>
          <w:bCs/>
          <w:sz w:val="24"/>
          <w:szCs w:val="24"/>
        </w:rPr>
        <w:t xml:space="preserve">.  </w:t>
      </w:r>
      <w:r w:rsidR="00D750E9">
        <w:rPr>
          <w:bCs/>
          <w:sz w:val="24"/>
          <w:szCs w:val="24"/>
        </w:rPr>
        <w:t xml:space="preserve">It should be noted that all the deficits above represent &lt; .2% of total C&amp;G appropriations for the FY, except Library which was at 2.4% of total appropriations.  </w:t>
      </w:r>
    </w:p>
    <w:p w14:paraId="7E4AFFD2" w14:textId="3AF4558A" w:rsidR="003C0B22" w:rsidRDefault="003C0B22" w:rsidP="00D952E6">
      <w:pPr>
        <w:pStyle w:val="ListParagraph"/>
        <w:ind w:left="1080"/>
        <w:rPr>
          <w:bCs/>
          <w:sz w:val="24"/>
          <w:szCs w:val="24"/>
        </w:rPr>
      </w:pPr>
    </w:p>
    <w:p w14:paraId="10B1444D" w14:textId="12DC7ACB" w:rsidR="002232AE" w:rsidRDefault="003C0B22" w:rsidP="00D952E6">
      <w:pPr>
        <w:ind w:left="1080"/>
        <w:rPr>
          <w:sz w:val="24"/>
          <w:szCs w:val="24"/>
        </w:rPr>
      </w:pPr>
      <w:r w:rsidRPr="008A1F50">
        <w:rPr>
          <w:sz w:val="24"/>
          <w:szCs w:val="24"/>
        </w:rPr>
        <w:t xml:space="preserve">UCR </w:t>
      </w:r>
      <w:r w:rsidR="002232AE">
        <w:rPr>
          <w:sz w:val="24"/>
          <w:szCs w:val="24"/>
        </w:rPr>
        <w:t>clears</w:t>
      </w:r>
      <w:r w:rsidRPr="008A1F50">
        <w:rPr>
          <w:sz w:val="24"/>
          <w:szCs w:val="24"/>
        </w:rPr>
        <w:t xml:space="preserve"> out the C&amp;G deficits at ye</w:t>
      </w:r>
      <w:r w:rsidR="002232AE">
        <w:rPr>
          <w:sz w:val="24"/>
          <w:szCs w:val="24"/>
        </w:rPr>
        <w:t>ar</w:t>
      </w:r>
      <w:r w:rsidRPr="008A1F50">
        <w:rPr>
          <w:sz w:val="24"/>
          <w:szCs w:val="24"/>
        </w:rPr>
        <w:t xml:space="preserve"> end for the </w:t>
      </w:r>
      <w:r>
        <w:rPr>
          <w:sz w:val="24"/>
          <w:szCs w:val="24"/>
        </w:rPr>
        <w:t xml:space="preserve">external </w:t>
      </w:r>
      <w:r w:rsidR="00151DE8">
        <w:rPr>
          <w:sz w:val="24"/>
          <w:szCs w:val="24"/>
        </w:rPr>
        <w:t>f</w:t>
      </w:r>
      <w:r>
        <w:rPr>
          <w:sz w:val="24"/>
          <w:szCs w:val="24"/>
        </w:rPr>
        <w:t xml:space="preserve">inancial </w:t>
      </w:r>
      <w:r w:rsidR="00151DE8">
        <w:rPr>
          <w:sz w:val="24"/>
          <w:szCs w:val="24"/>
        </w:rPr>
        <w:t>a</w:t>
      </w:r>
      <w:r>
        <w:rPr>
          <w:sz w:val="24"/>
          <w:szCs w:val="24"/>
        </w:rPr>
        <w:t xml:space="preserve">udit and Uniform Guidance (formerly A-133) </w:t>
      </w:r>
      <w:r w:rsidR="002232AE">
        <w:rPr>
          <w:sz w:val="24"/>
          <w:szCs w:val="24"/>
        </w:rPr>
        <w:t>a</w:t>
      </w:r>
      <w:r>
        <w:rPr>
          <w:sz w:val="24"/>
          <w:szCs w:val="24"/>
        </w:rPr>
        <w:t>udit</w:t>
      </w:r>
      <w:r w:rsidRPr="008A1F50">
        <w:rPr>
          <w:sz w:val="24"/>
          <w:szCs w:val="24"/>
        </w:rPr>
        <w:t xml:space="preserve">.  The entries </w:t>
      </w:r>
      <w:r w:rsidR="002232AE">
        <w:rPr>
          <w:sz w:val="24"/>
          <w:szCs w:val="24"/>
        </w:rPr>
        <w:t xml:space="preserve">are then </w:t>
      </w:r>
      <w:r w:rsidRPr="008A1F50">
        <w:rPr>
          <w:sz w:val="24"/>
          <w:szCs w:val="24"/>
        </w:rPr>
        <w:t>reverse</w:t>
      </w:r>
      <w:r w:rsidR="002232AE">
        <w:rPr>
          <w:sz w:val="24"/>
          <w:szCs w:val="24"/>
        </w:rPr>
        <w:t>d</w:t>
      </w:r>
      <w:r w:rsidRPr="008A1F50">
        <w:rPr>
          <w:sz w:val="24"/>
          <w:szCs w:val="24"/>
        </w:rPr>
        <w:t xml:space="preserve"> in the beginning of the following FY.  </w:t>
      </w:r>
      <w:r w:rsidR="008A1F50">
        <w:rPr>
          <w:sz w:val="24"/>
          <w:szCs w:val="24"/>
        </w:rPr>
        <w:t>It is our understanding that</w:t>
      </w:r>
      <w:r w:rsidRPr="008A1F50">
        <w:rPr>
          <w:sz w:val="24"/>
          <w:szCs w:val="24"/>
        </w:rPr>
        <w:t xml:space="preserve"> </w:t>
      </w:r>
      <w:r w:rsidR="002232AE">
        <w:rPr>
          <w:sz w:val="24"/>
          <w:szCs w:val="24"/>
        </w:rPr>
        <w:t xml:space="preserve">the UC </w:t>
      </w:r>
      <w:r w:rsidRPr="008A1F50">
        <w:rPr>
          <w:sz w:val="24"/>
          <w:szCs w:val="24"/>
        </w:rPr>
        <w:t>Office of the President requires all C&amp;G overdrafts to be cleared by fiscal year-end</w:t>
      </w:r>
      <w:r w:rsidR="002232AE">
        <w:rPr>
          <w:sz w:val="24"/>
          <w:szCs w:val="24"/>
        </w:rPr>
        <w:t xml:space="preserve">.  However, </w:t>
      </w:r>
      <w:r w:rsidRPr="008A1F50">
        <w:rPr>
          <w:sz w:val="24"/>
          <w:szCs w:val="24"/>
        </w:rPr>
        <w:t>th</w:t>
      </w:r>
      <w:r w:rsidR="00EC42B4">
        <w:rPr>
          <w:sz w:val="24"/>
          <w:szCs w:val="24"/>
        </w:rPr>
        <w:t>e method used by UCR to clear out the deficits</w:t>
      </w:r>
      <w:r w:rsidRPr="008A1F50">
        <w:rPr>
          <w:sz w:val="24"/>
          <w:szCs w:val="24"/>
        </w:rPr>
        <w:t xml:space="preserve"> is not </w:t>
      </w:r>
      <w:r w:rsidR="002232AE" w:rsidRPr="008A1F50">
        <w:rPr>
          <w:sz w:val="24"/>
          <w:szCs w:val="24"/>
        </w:rPr>
        <w:t>a good accounting practice</w:t>
      </w:r>
      <w:r w:rsidR="002232AE">
        <w:rPr>
          <w:sz w:val="24"/>
          <w:szCs w:val="24"/>
        </w:rPr>
        <w:t xml:space="preserve">.  </w:t>
      </w:r>
      <w:r w:rsidR="002232AE" w:rsidRPr="008A1F50">
        <w:rPr>
          <w:sz w:val="24"/>
          <w:szCs w:val="24"/>
        </w:rPr>
        <w:t xml:space="preserve">  </w:t>
      </w:r>
    </w:p>
    <w:p w14:paraId="2F5F7319" w14:textId="0A51DDD8" w:rsidR="00163609" w:rsidRPr="00F06C05" w:rsidRDefault="00163609" w:rsidP="00494DE8">
      <w:pPr>
        <w:ind w:left="1080" w:hanging="360"/>
        <w:rPr>
          <w:sz w:val="24"/>
          <w:szCs w:val="24"/>
        </w:rPr>
      </w:pPr>
    </w:p>
    <w:p w14:paraId="2E7EA5AE" w14:textId="77777777" w:rsidR="00163609" w:rsidRPr="00F06C05" w:rsidRDefault="00163609" w:rsidP="00494DE8">
      <w:pPr>
        <w:ind w:left="1080" w:hanging="360"/>
        <w:rPr>
          <w:b/>
          <w:sz w:val="24"/>
          <w:szCs w:val="24"/>
        </w:rPr>
      </w:pPr>
      <w:r w:rsidRPr="00F06C05">
        <w:rPr>
          <w:b/>
          <w:sz w:val="24"/>
          <w:szCs w:val="24"/>
        </w:rPr>
        <w:t>Management Response – CNAS</w:t>
      </w:r>
    </w:p>
    <w:p w14:paraId="4BA6CFF7" w14:textId="77777777" w:rsidR="00163609" w:rsidRPr="00F06C05" w:rsidRDefault="00163609" w:rsidP="00494DE8">
      <w:pPr>
        <w:ind w:left="1080" w:hanging="360"/>
        <w:rPr>
          <w:sz w:val="24"/>
          <w:szCs w:val="24"/>
        </w:rPr>
      </w:pPr>
    </w:p>
    <w:p w14:paraId="598502B5" w14:textId="5E25FDFF" w:rsidR="00163609" w:rsidRPr="00F06C05" w:rsidRDefault="00163609" w:rsidP="00D952E6">
      <w:pPr>
        <w:ind w:left="1080"/>
        <w:rPr>
          <w:sz w:val="24"/>
          <w:szCs w:val="24"/>
        </w:rPr>
      </w:pPr>
      <w:r w:rsidRPr="00F06C05">
        <w:rPr>
          <w:sz w:val="24"/>
          <w:szCs w:val="24"/>
        </w:rPr>
        <w:t>CNAS utilizes the CNAS Financial Analysis Reporting System, which allows the unit to systematically monitor deficit balances, the number of cost transfers performed and number of transactions occurring after fund end date.  These reports are run quarterly</w:t>
      </w:r>
      <w:r w:rsidR="00EA6D47">
        <w:rPr>
          <w:sz w:val="24"/>
          <w:szCs w:val="24"/>
        </w:rPr>
        <w:t xml:space="preserve"> by</w:t>
      </w:r>
      <w:r w:rsidRPr="00F06C05">
        <w:rPr>
          <w:sz w:val="24"/>
          <w:szCs w:val="24"/>
        </w:rPr>
        <w:t xml:space="preserve"> all units within the college by Dean’s Office </w:t>
      </w:r>
      <w:r w:rsidR="00EA6D47">
        <w:rPr>
          <w:sz w:val="24"/>
          <w:szCs w:val="24"/>
        </w:rPr>
        <w:t>f</w:t>
      </w:r>
      <w:r w:rsidRPr="00F06C05">
        <w:rPr>
          <w:sz w:val="24"/>
          <w:szCs w:val="24"/>
        </w:rPr>
        <w:t xml:space="preserve">inancial </w:t>
      </w:r>
      <w:r w:rsidR="00EA6D47">
        <w:rPr>
          <w:sz w:val="24"/>
          <w:szCs w:val="24"/>
        </w:rPr>
        <w:t>s</w:t>
      </w:r>
      <w:r w:rsidRPr="00F06C05">
        <w:rPr>
          <w:sz w:val="24"/>
          <w:szCs w:val="24"/>
        </w:rPr>
        <w:t>taff.  The reports are then provided to departments to collect comments for each fund such that we have a more thorough understanding of underlying cause.  We look for trends, system failures and other areas that may provide opportunity for process improvement.  The final reports, with department commentary, are reviewed in a group meeting with the Dean’s Office finance team and the CFAO.  The CFAO signs a copy each quarter to certify she has reviewed, taken action on, and understands any deficit balances on the ledger.  Each deficit report shows the balance at the end of the most current quarter as well as the balances in the three prior quarters for comparison.  This affords the opportunity to immediately examine the persistence of a problem and address it.</w:t>
      </w:r>
    </w:p>
    <w:p w14:paraId="5E2266D4" w14:textId="77777777" w:rsidR="00163609" w:rsidRPr="00F06C05" w:rsidRDefault="00163609" w:rsidP="00494DE8">
      <w:pPr>
        <w:ind w:left="1080" w:hanging="360"/>
        <w:rPr>
          <w:sz w:val="24"/>
          <w:szCs w:val="24"/>
        </w:rPr>
      </w:pPr>
    </w:p>
    <w:p w14:paraId="04A43E23" w14:textId="728E022A" w:rsidR="00163609" w:rsidRPr="00F06C05" w:rsidRDefault="00163609" w:rsidP="00494DE8">
      <w:pPr>
        <w:ind w:left="1080" w:hanging="360"/>
        <w:rPr>
          <w:b/>
          <w:sz w:val="24"/>
          <w:szCs w:val="24"/>
        </w:rPr>
      </w:pPr>
      <w:r w:rsidRPr="00F06C05">
        <w:rPr>
          <w:b/>
          <w:sz w:val="24"/>
          <w:szCs w:val="24"/>
        </w:rPr>
        <w:t>Management Response/Corrective Action – BC</w:t>
      </w:r>
      <w:r w:rsidR="00EA6D47">
        <w:rPr>
          <w:b/>
          <w:sz w:val="24"/>
          <w:szCs w:val="24"/>
        </w:rPr>
        <w:t>O</w:t>
      </w:r>
      <w:r w:rsidRPr="00F06C05">
        <w:rPr>
          <w:b/>
          <w:sz w:val="24"/>
          <w:szCs w:val="24"/>
        </w:rPr>
        <w:t>E</w:t>
      </w:r>
    </w:p>
    <w:p w14:paraId="23E58832" w14:textId="77777777" w:rsidR="00163609" w:rsidRPr="00F06C05" w:rsidRDefault="00163609" w:rsidP="00494DE8">
      <w:pPr>
        <w:ind w:left="1080" w:hanging="360"/>
        <w:rPr>
          <w:sz w:val="24"/>
          <w:szCs w:val="24"/>
        </w:rPr>
      </w:pPr>
    </w:p>
    <w:p w14:paraId="3302A2D8" w14:textId="4554C866" w:rsidR="00EC6BB5" w:rsidRDefault="00EC6BB5" w:rsidP="00EC6BB5">
      <w:pPr>
        <w:ind w:left="1080"/>
        <w:rPr>
          <w:sz w:val="24"/>
          <w:szCs w:val="24"/>
        </w:rPr>
      </w:pPr>
      <w:r>
        <w:rPr>
          <w:sz w:val="24"/>
          <w:szCs w:val="24"/>
        </w:rPr>
        <w:t>BCOE is currently in the process of refining processes associated with post award administration for the college.  BCOE leadership is implementing new internal controls to address areas that require further oversight/ attention based on a root</w:t>
      </w:r>
      <w:r w:rsidR="00076B39">
        <w:rPr>
          <w:sz w:val="24"/>
          <w:szCs w:val="24"/>
        </w:rPr>
        <w:t xml:space="preserve"> </w:t>
      </w:r>
      <w:r>
        <w:rPr>
          <w:sz w:val="24"/>
          <w:szCs w:val="24"/>
        </w:rPr>
        <w:t xml:space="preserve">cause analysis being conducted. The Dean’s Office will be taking a more active role in establishing appropriate accountability measures to ensure that fund overdrafts are avoided and when they occur addressed immediately. BCOE will be requiring that the department/center Financial and Administrative Officers (FAOs) work directly with their Principal Investigators (PIs) to closely monitor their contracts and grants for appropriateness of expenses/overdrafts via the dissemination of monthly PI reports. While this is the current practice, staffing shortages in the departments have, at times, resulted in contract and grants not being closely monitored to avoid overdrafts.  Given such, BCOE is currently hiring an extramural funds administrator to provide oversight for all contract and grant activity within the college. This individual will be partnering with the department FAOs and Contract and Grant Analysts to ensure adequate and timely review of expenditures and balances. Additionally, BCOE is also implementing a quarterly contract and grants report to be submitted by the departments/centers to the Dean Office certifying review of all contract and grant activity and ensuring appropriate action on any overdrafts/deficits. </w:t>
      </w:r>
    </w:p>
    <w:p w14:paraId="67054539" w14:textId="255741FD" w:rsidR="00F06C05" w:rsidRDefault="00F06C05" w:rsidP="00D952E6">
      <w:pPr>
        <w:ind w:left="1080"/>
        <w:rPr>
          <w:sz w:val="24"/>
          <w:szCs w:val="24"/>
        </w:rPr>
      </w:pPr>
    </w:p>
    <w:p w14:paraId="50236B02" w14:textId="7B4E5927" w:rsidR="00F06C05" w:rsidRDefault="00F06C05" w:rsidP="00494DE8">
      <w:pPr>
        <w:ind w:left="1080" w:hanging="360"/>
        <w:rPr>
          <w:b/>
          <w:sz w:val="24"/>
          <w:szCs w:val="24"/>
        </w:rPr>
      </w:pPr>
      <w:r w:rsidRPr="00F06C05">
        <w:rPr>
          <w:b/>
          <w:sz w:val="24"/>
          <w:szCs w:val="24"/>
        </w:rPr>
        <w:t xml:space="preserve">Management Response/Corrective Action – </w:t>
      </w:r>
      <w:r>
        <w:rPr>
          <w:b/>
          <w:sz w:val="24"/>
          <w:szCs w:val="24"/>
        </w:rPr>
        <w:t>CHASS</w:t>
      </w:r>
    </w:p>
    <w:p w14:paraId="07BF3611" w14:textId="1B8D19B4" w:rsidR="00F06C05" w:rsidRPr="00F06C05" w:rsidRDefault="00F06C05" w:rsidP="00494DE8">
      <w:pPr>
        <w:ind w:left="1080" w:hanging="360"/>
        <w:rPr>
          <w:b/>
          <w:sz w:val="24"/>
          <w:szCs w:val="24"/>
        </w:rPr>
      </w:pPr>
    </w:p>
    <w:p w14:paraId="75092BB6" w14:textId="6835A7A0" w:rsidR="00BB7797" w:rsidRDefault="00BB7797" w:rsidP="00BB7797">
      <w:pPr>
        <w:ind w:left="1080" w:right="90"/>
        <w:rPr>
          <w:sz w:val="24"/>
          <w:szCs w:val="24"/>
        </w:rPr>
      </w:pPr>
      <w:r>
        <w:rPr>
          <w:sz w:val="24"/>
          <w:szCs w:val="24"/>
        </w:rPr>
        <w:t xml:space="preserve">The majority of contracts &amp; grants are in our Psychology department.  Over the last couple of </w:t>
      </w:r>
      <w:r w:rsidR="00076B39">
        <w:rPr>
          <w:sz w:val="24"/>
          <w:szCs w:val="24"/>
        </w:rPr>
        <w:t>years,</w:t>
      </w:r>
      <w:r>
        <w:rPr>
          <w:sz w:val="24"/>
          <w:szCs w:val="24"/>
        </w:rPr>
        <w:t xml:space="preserve"> they have had tremendous turnover in their staff positions.  To assist Psychology and the entire college, we have re-structured our C&amp;G staff and have created a contract &amp; grant team with a dedicated C&amp;G manager that will have direct oversight over the C&amp;G function within the college.  In connection with this restructure and with the increase in contracts &amp; grants as a result of the increase in faculty hiring in Psychology and the rest of CHASS, we have added an additional C&amp;G analyst position specifically for Psychology which was filled in March of 2018.  Additionally, we are currently recruiting for an additional C&amp;G Analyst to assist with contracts &amp; grants in the other departments in CHASS and will be part of the C&amp;G team.  With these changes in place</w:t>
      </w:r>
      <w:r w:rsidR="004C7835">
        <w:rPr>
          <w:sz w:val="24"/>
          <w:szCs w:val="24"/>
        </w:rPr>
        <w:t>,</w:t>
      </w:r>
      <w:r>
        <w:rPr>
          <w:sz w:val="24"/>
          <w:szCs w:val="24"/>
        </w:rPr>
        <w:t xml:space="preserve"> we feel confident that these deficits should be reduced significantly.</w:t>
      </w:r>
    </w:p>
    <w:p w14:paraId="522FCEBE" w14:textId="77777777" w:rsidR="00086890" w:rsidRDefault="00086890" w:rsidP="00494DE8">
      <w:pPr>
        <w:pStyle w:val="ListParagraph"/>
        <w:ind w:left="1080" w:hanging="360"/>
        <w:rPr>
          <w:bCs/>
          <w:sz w:val="24"/>
          <w:szCs w:val="24"/>
        </w:rPr>
      </w:pPr>
    </w:p>
    <w:p w14:paraId="08ABB503" w14:textId="77777777" w:rsidR="00205B9A" w:rsidRPr="006575C1" w:rsidRDefault="00205B9A" w:rsidP="00494DE8">
      <w:pPr>
        <w:pStyle w:val="NoSpacing"/>
        <w:numPr>
          <w:ilvl w:val="0"/>
          <w:numId w:val="44"/>
        </w:numPr>
        <w:ind w:left="1080" w:hanging="360"/>
        <w:rPr>
          <w:b/>
          <w:sz w:val="24"/>
          <w:szCs w:val="24"/>
          <w:u w:val="single"/>
        </w:rPr>
      </w:pPr>
      <w:r w:rsidRPr="00EF5E9F">
        <w:rPr>
          <w:b/>
          <w:sz w:val="24"/>
          <w:szCs w:val="24"/>
          <w:u w:val="single"/>
        </w:rPr>
        <w:t>Accruals and Year End Clos</w:t>
      </w:r>
      <w:r>
        <w:rPr>
          <w:b/>
          <w:sz w:val="24"/>
          <w:szCs w:val="24"/>
          <w:u w:val="single"/>
        </w:rPr>
        <w:t>ing</w:t>
      </w:r>
      <w:r w:rsidRPr="00EF5E9F">
        <w:rPr>
          <w:b/>
          <w:sz w:val="24"/>
          <w:szCs w:val="24"/>
          <w:u w:val="single"/>
        </w:rPr>
        <w:t xml:space="preserve"> Process</w:t>
      </w:r>
    </w:p>
    <w:p w14:paraId="4248D5B9" w14:textId="77777777" w:rsidR="00E65A2B" w:rsidRDefault="00E65A2B" w:rsidP="00205B9A">
      <w:pPr>
        <w:pStyle w:val="NoSpacing"/>
        <w:tabs>
          <w:tab w:val="left" w:pos="1656"/>
        </w:tabs>
        <w:ind w:left="1170"/>
        <w:rPr>
          <w:bCs/>
          <w:sz w:val="24"/>
          <w:szCs w:val="24"/>
        </w:rPr>
      </w:pPr>
    </w:p>
    <w:p w14:paraId="543E6940" w14:textId="77777777" w:rsidR="00E65A2B" w:rsidRDefault="00E65A2B" w:rsidP="00494DE8">
      <w:pPr>
        <w:pStyle w:val="ListParagraph"/>
        <w:ind w:left="1080"/>
        <w:rPr>
          <w:sz w:val="24"/>
          <w:szCs w:val="24"/>
        </w:rPr>
      </w:pPr>
      <w:r>
        <w:rPr>
          <w:sz w:val="24"/>
          <w:szCs w:val="24"/>
        </w:rPr>
        <w:t xml:space="preserve">The year-end closing process is a complicated and highly coordinated effort that not only coordinates efforts across UCR, but is handled in coordination and dependent on other UC campuses and Office of the President (OP).  Accounting Services described a process that includes over 400 closing steps.  General Ledger systems and the chart of accounts are distinct across the campuses and even at OP, requiring complicated mapping and additional entries for consolidation. </w:t>
      </w:r>
    </w:p>
    <w:p w14:paraId="7958B029" w14:textId="77777777" w:rsidR="00E65A2B" w:rsidRDefault="00E65A2B" w:rsidP="00494DE8">
      <w:pPr>
        <w:pStyle w:val="ListParagraph"/>
        <w:ind w:left="1080"/>
        <w:rPr>
          <w:sz w:val="24"/>
          <w:szCs w:val="24"/>
        </w:rPr>
      </w:pPr>
    </w:p>
    <w:p w14:paraId="5A6B1505" w14:textId="4CF5FFFD" w:rsidR="00E65A2B" w:rsidRDefault="00E65A2B" w:rsidP="00494DE8">
      <w:pPr>
        <w:pStyle w:val="ListParagraph"/>
        <w:ind w:left="1080"/>
        <w:rPr>
          <w:sz w:val="24"/>
          <w:szCs w:val="24"/>
        </w:rPr>
      </w:pPr>
      <w:r>
        <w:rPr>
          <w:sz w:val="24"/>
          <w:szCs w:val="24"/>
        </w:rPr>
        <w:t>While we do not question the effectiveness of the year-end clos</w:t>
      </w:r>
      <w:r w:rsidR="004C7835">
        <w:rPr>
          <w:sz w:val="24"/>
          <w:szCs w:val="24"/>
        </w:rPr>
        <w:t>ing</w:t>
      </w:r>
      <w:r>
        <w:rPr>
          <w:sz w:val="24"/>
          <w:szCs w:val="24"/>
        </w:rPr>
        <w:t xml:space="preserve"> process, we noted some opportunities to improve efficiency.  </w:t>
      </w:r>
    </w:p>
    <w:p w14:paraId="59125208" w14:textId="78D3EC9F" w:rsidR="00E65A2B" w:rsidRDefault="00E65A2B" w:rsidP="00494DE8">
      <w:pPr>
        <w:pStyle w:val="ListParagraph"/>
        <w:ind w:left="1080"/>
        <w:rPr>
          <w:sz w:val="24"/>
          <w:szCs w:val="24"/>
        </w:rPr>
      </w:pPr>
    </w:p>
    <w:p w14:paraId="0A0AA8AE" w14:textId="77777777" w:rsidR="004439EA" w:rsidRDefault="004439EA" w:rsidP="00494DE8">
      <w:pPr>
        <w:pStyle w:val="CommentText"/>
        <w:ind w:left="1080"/>
        <w:rPr>
          <w:sz w:val="24"/>
          <w:szCs w:val="24"/>
        </w:rPr>
      </w:pPr>
      <w:r w:rsidRPr="00D76E7F">
        <w:rPr>
          <w:sz w:val="24"/>
          <w:szCs w:val="24"/>
        </w:rPr>
        <w:t xml:space="preserve">Some of the items discussed in the observation below describe </w:t>
      </w:r>
      <w:r>
        <w:rPr>
          <w:sz w:val="24"/>
          <w:szCs w:val="24"/>
        </w:rPr>
        <w:t xml:space="preserve">existing functionalities and features in PeopleSoft Financials/Supply Chain Management (FSCM) that are not presently utilized, that can improve internal controls and enhance efficiency.  However, our current version of PeopleSoft (V8.8 upgraded in 2005) is heavily customized and no longer supported.  Implementing these features in the present environment </w:t>
      </w:r>
      <w:r w:rsidRPr="00D76E7F">
        <w:rPr>
          <w:sz w:val="24"/>
          <w:szCs w:val="24"/>
        </w:rPr>
        <w:t>may be</w:t>
      </w:r>
      <w:r>
        <w:rPr>
          <w:sz w:val="24"/>
          <w:szCs w:val="24"/>
        </w:rPr>
        <w:t xml:space="preserve"> risky and not cost effective.  Many feeder systems (including in-house developed systems) would have to be remediated and we would still forego other features that would be available in the current version release.  </w:t>
      </w:r>
    </w:p>
    <w:p w14:paraId="55F5CFF6" w14:textId="77777777" w:rsidR="004439EA" w:rsidRDefault="004439EA" w:rsidP="00494DE8">
      <w:pPr>
        <w:pStyle w:val="CommentText"/>
        <w:ind w:left="1080"/>
        <w:rPr>
          <w:sz w:val="24"/>
          <w:szCs w:val="24"/>
        </w:rPr>
      </w:pPr>
    </w:p>
    <w:p w14:paraId="5237E569" w14:textId="39EBB946" w:rsidR="004439EA" w:rsidRDefault="004439EA" w:rsidP="00494DE8">
      <w:pPr>
        <w:pStyle w:val="CommentText"/>
        <w:ind w:left="1080"/>
        <w:rPr>
          <w:sz w:val="24"/>
          <w:szCs w:val="24"/>
        </w:rPr>
      </w:pPr>
      <w:r>
        <w:rPr>
          <w:sz w:val="24"/>
          <w:szCs w:val="24"/>
        </w:rPr>
        <w:t xml:space="preserve">BFS and ITS are currently in the process of exploring options to upgrade our financial system. They will evaluate whether they can implement a </w:t>
      </w:r>
      <w:r w:rsidR="004C7835">
        <w:rPr>
          <w:sz w:val="24"/>
          <w:szCs w:val="24"/>
        </w:rPr>
        <w:t>“</w:t>
      </w:r>
      <w:r>
        <w:rPr>
          <w:sz w:val="24"/>
          <w:szCs w:val="24"/>
        </w:rPr>
        <w:t>vanilla</w:t>
      </w:r>
      <w:r w:rsidR="004C7835">
        <w:rPr>
          <w:sz w:val="24"/>
          <w:szCs w:val="24"/>
        </w:rPr>
        <w:t>”</w:t>
      </w:r>
      <w:r>
        <w:rPr>
          <w:sz w:val="24"/>
          <w:szCs w:val="24"/>
        </w:rPr>
        <w:t xml:space="preserve"> ERP system and replace the in-house/customized applications, where possible.  As such, they believe utilization of enhanced functionalities should be deferred </w:t>
      </w:r>
      <w:r w:rsidRPr="00D76E7F">
        <w:rPr>
          <w:sz w:val="24"/>
          <w:szCs w:val="24"/>
        </w:rPr>
        <w:t xml:space="preserve">for consideration </w:t>
      </w:r>
      <w:r>
        <w:rPr>
          <w:sz w:val="24"/>
          <w:szCs w:val="24"/>
        </w:rPr>
        <w:t>until a full system replacement decision has been reached</w:t>
      </w:r>
      <w:r w:rsidRPr="00D76E7F">
        <w:rPr>
          <w:sz w:val="24"/>
          <w:szCs w:val="24"/>
        </w:rPr>
        <w:t xml:space="preserve"> and UCPath related remediation has been completed</w:t>
      </w:r>
      <w:r>
        <w:rPr>
          <w:sz w:val="24"/>
          <w:szCs w:val="24"/>
        </w:rPr>
        <w:t xml:space="preserve">.  </w:t>
      </w:r>
    </w:p>
    <w:p w14:paraId="2F1BBBF3" w14:textId="124797B0" w:rsidR="004439EA" w:rsidRPr="00D76E7F" w:rsidRDefault="004439EA" w:rsidP="00494DE8">
      <w:pPr>
        <w:ind w:left="1080"/>
        <w:rPr>
          <w:sz w:val="24"/>
          <w:szCs w:val="24"/>
        </w:rPr>
      </w:pPr>
    </w:p>
    <w:p w14:paraId="2EE1E85B" w14:textId="77777777" w:rsidR="00E65A2B" w:rsidRPr="004303AA" w:rsidRDefault="00E65A2B" w:rsidP="00494DE8">
      <w:pPr>
        <w:pStyle w:val="ListParagraph"/>
        <w:ind w:left="1080"/>
        <w:rPr>
          <w:b/>
          <w:sz w:val="24"/>
          <w:szCs w:val="24"/>
          <w:u w:val="single"/>
        </w:rPr>
      </w:pPr>
      <w:r>
        <w:rPr>
          <w:b/>
          <w:sz w:val="24"/>
          <w:szCs w:val="24"/>
          <w:u w:val="single"/>
        </w:rPr>
        <w:t>Accruals</w:t>
      </w:r>
      <w:r w:rsidRPr="004303AA">
        <w:rPr>
          <w:b/>
          <w:sz w:val="24"/>
          <w:szCs w:val="24"/>
          <w:u w:val="single"/>
        </w:rPr>
        <w:t xml:space="preserve"> </w:t>
      </w:r>
    </w:p>
    <w:p w14:paraId="2B9BB0AB" w14:textId="77777777" w:rsidR="00E65A2B" w:rsidRDefault="00E65A2B" w:rsidP="00494DE8">
      <w:pPr>
        <w:pStyle w:val="ListParagraph"/>
        <w:ind w:left="1080"/>
        <w:rPr>
          <w:sz w:val="24"/>
          <w:szCs w:val="24"/>
        </w:rPr>
      </w:pPr>
    </w:p>
    <w:p w14:paraId="0ED56026" w14:textId="77777777" w:rsidR="00E65A2B" w:rsidRPr="00EF5E9F" w:rsidRDefault="00E65A2B" w:rsidP="00494DE8">
      <w:pPr>
        <w:pStyle w:val="ListParagraph"/>
        <w:ind w:left="1080"/>
        <w:rPr>
          <w:sz w:val="24"/>
          <w:szCs w:val="24"/>
        </w:rPr>
      </w:pPr>
      <w:r w:rsidRPr="00EF5E9F">
        <w:rPr>
          <w:sz w:val="24"/>
          <w:szCs w:val="24"/>
        </w:rPr>
        <w:t xml:space="preserve">To comply with Generally Accepted Accounting Principles (GAAP), expenses for goods and services should be recorded in the fiscal year </w:t>
      </w:r>
      <w:r>
        <w:rPr>
          <w:sz w:val="24"/>
          <w:szCs w:val="24"/>
        </w:rPr>
        <w:t>to which they relate</w:t>
      </w:r>
      <w:r w:rsidRPr="00EF5E9F">
        <w:rPr>
          <w:sz w:val="24"/>
          <w:szCs w:val="24"/>
        </w:rPr>
        <w:t xml:space="preserve">, and income for goods and services in the fiscal year </w:t>
      </w:r>
      <w:r>
        <w:rPr>
          <w:sz w:val="24"/>
          <w:szCs w:val="24"/>
        </w:rPr>
        <w:t>earned</w:t>
      </w:r>
      <w:r w:rsidRPr="00EF5E9F">
        <w:rPr>
          <w:sz w:val="24"/>
          <w:szCs w:val="24"/>
        </w:rPr>
        <w:t>. In order to meet the fiscal year-end and financial reporting deadlines, accrual and deferral entries are processed based on materiality thresholds</w:t>
      </w:r>
      <w:r>
        <w:rPr>
          <w:sz w:val="24"/>
          <w:szCs w:val="24"/>
        </w:rPr>
        <w:t xml:space="preserve"> set by UCR as follows:</w:t>
      </w:r>
      <w:r w:rsidRPr="00EF5E9F">
        <w:rPr>
          <w:sz w:val="24"/>
          <w:szCs w:val="24"/>
        </w:rPr>
        <w:t xml:space="preserve">  </w:t>
      </w:r>
    </w:p>
    <w:p w14:paraId="2AD644FB" w14:textId="77777777" w:rsidR="00E65A2B" w:rsidRPr="00EF5E9F" w:rsidRDefault="00E65A2B" w:rsidP="00886EE7">
      <w:pPr>
        <w:pStyle w:val="ListParagraph"/>
        <w:ind w:left="1140"/>
        <w:rPr>
          <w:sz w:val="24"/>
          <w:szCs w:val="24"/>
        </w:rPr>
      </w:pPr>
    </w:p>
    <w:p w14:paraId="79212D58" w14:textId="77777777" w:rsidR="00E65A2B" w:rsidRPr="00EF5E9F" w:rsidRDefault="00E65A2B" w:rsidP="00886EE7">
      <w:pPr>
        <w:pStyle w:val="ListParagraph"/>
        <w:ind w:left="2160"/>
        <w:rPr>
          <w:b/>
          <w:sz w:val="22"/>
          <w:szCs w:val="22"/>
          <w:u w:val="single"/>
        </w:rPr>
      </w:pPr>
      <w:r w:rsidRPr="00EF5E9F">
        <w:rPr>
          <w:b/>
          <w:sz w:val="22"/>
          <w:szCs w:val="22"/>
          <w:u w:val="single"/>
        </w:rPr>
        <w:t xml:space="preserve">Materiality Thresholds </w:t>
      </w:r>
    </w:p>
    <w:p w14:paraId="08D572D9" w14:textId="77777777" w:rsidR="00E65A2B" w:rsidRPr="00EF5E9F" w:rsidRDefault="00E65A2B" w:rsidP="00886EE7">
      <w:pPr>
        <w:pStyle w:val="ListParagraph"/>
        <w:ind w:left="2160"/>
        <w:rPr>
          <w:sz w:val="22"/>
          <w:szCs w:val="22"/>
        </w:rPr>
      </w:pPr>
      <w:r w:rsidRPr="00EF5E9F">
        <w:rPr>
          <w:sz w:val="22"/>
          <w:szCs w:val="22"/>
        </w:rPr>
        <w:t xml:space="preserve">$10,000 – July 1 to 5 </w:t>
      </w:r>
    </w:p>
    <w:p w14:paraId="7FA39544" w14:textId="77777777" w:rsidR="00E65A2B" w:rsidRPr="00EF5E9F" w:rsidRDefault="00E65A2B" w:rsidP="00886EE7">
      <w:pPr>
        <w:pStyle w:val="ListParagraph"/>
        <w:ind w:left="2160"/>
        <w:rPr>
          <w:sz w:val="22"/>
          <w:szCs w:val="22"/>
        </w:rPr>
      </w:pPr>
      <w:r w:rsidRPr="00EF5E9F">
        <w:rPr>
          <w:sz w:val="22"/>
          <w:szCs w:val="22"/>
        </w:rPr>
        <w:t xml:space="preserve">$25,000 – July 6 to 12 </w:t>
      </w:r>
    </w:p>
    <w:p w14:paraId="41A258E0" w14:textId="77777777" w:rsidR="00E65A2B" w:rsidRPr="00EF5E9F" w:rsidRDefault="00E65A2B" w:rsidP="00886EE7">
      <w:pPr>
        <w:pStyle w:val="ListParagraph"/>
        <w:ind w:left="2160"/>
        <w:rPr>
          <w:sz w:val="22"/>
          <w:szCs w:val="22"/>
        </w:rPr>
      </w:pPr>
      <w:r w:rsidRPr="00EF5E9F">
        <w:rPr>
          <w:sz w:val="22"/>
          <w:szCs w:val="22"/>
        </w:rPr>
        <w:t xml:space="preserve">$50,000 – July 13 to 19 </w:t>
      </w:r>
    </w:p>
    <w:p w14:paraId="0C3856EE" w14:textId="77777777" w:rsidR="00E65A2B" w:rsidRPr="00EF5E9F" w:rsidRDefault="00E65A2B" w:rsidP="00886EE7">
      <w:pPr>
        <w:pStyle w:val="ListParagraph"/>
        <w:ind w:left="2160"/>
        <w:rPr>
          <w:sz w:val="22"/>
          <w:szCs w:val="22"/>
        </w:rPr>
      </w:pPr>
      <w:r w:rsidRPr="00EF5E9F">
        <w:rPr>
          <w:sz w:val="22"/>
          <w:szCs w:val="22"/>
        </w:rPr>
        <w:t xml:space="preserve">$75,000 – July 20 to July 31 </w:t>
      </w:r>
    </w:p>
    <w:p w14:paraId="686B9BDC" w14:textId="77777777" w:rsidR="00E65A2B" w:rsidRPr="00EF5E9F" w:rsidRDefault="00E65A2B" w:rsidP="00886EE7">
      <w:pPr>
        <w:pStyle w:val="ListParagraph"/>
        <w:ind w:left="2160"/>
        <w:rPr>
          <w:sz w:val="22"/>
          <w:szCs w:val="22"/>
        </w:rPr>
      </w:pPr>
      <w:r w:rsidRPr="00EF5E9F">
        <w:rPr>
          <w:sz w:val="22"/>
          <w:szCs w:val="22"/>
        </w:rPr>
        <w:t>$100,000 – Aug</w:t>
      </w:r>
      <w:r>
        <w:rPr>
          <w:sz w:val="22"/>
          <w:szCs w:val="22"/>
        </w:rPr>
        <w:t>ust</w:t>
      </w:r>
      <w:r w:rsidRPr="00EF5E9F">
        <w:rPr>
          <w:sz w:val="22"/>
          <w:szCs w:val="22"/>
        </w:rPr>
        <w:t xml:space="preserve"> 1 to Aug</w:t>
      </w:r>
      <w:r>
        <w:rPr>
          <w:sz w:val="22"/>
          <w:szCs w:val="22"/>
        </w:rPr>
        <w:t>ust</w:t>
      </w:r>
      <w:r w:rsidRPr="00EF5E9F">
        <w:rPr>
          <w:sz w:val="22"/>
          <w:szCs w:val="22"/>
        </w:rPr>
        <w:t xml:space="preserve"> 30</w:t>
      </w:r>
    </w:p>
    <w:p w14:paraId="034737FE" w14:textId="77777777" w:rsidR="00E65A2B" w:rsidRPr="00EF5E9F" w:rsidRDefault="00E65A2B" w:rsidP="00886EE7">
      <w:pPr>
        <w:pStyle w:val="ListParagraph"/>
        <w:ind w:left="1140"/>
        <w:rPr>
          <w:sz w:val="24"/>
          <w:szCs w:val="24"/>
        </w:rPr>
      </w:pPr>
    </w:p>
    <w:p w14:paraId="5E3BC26B" w14:textId="77777777" w:rsidR="00E65A2B" w:rsidRDefault="00E65A2B" w:rsidP="00494DE8">
      <w:pPr>
        <w:pStyle w:val="ListParagraph"/>
        <w:ind w:left="1080"/>
        <w:rPr>
          <w:sz w:val="24"/>
          <w:szCs w:val="24"/>
        </w:rPr>
      </w:pPr>
      <w:r w:rsidRPr="00EF5E9F">
        <w:rPr>
          <w:sz w:val="24"/>
          <w:szCs w:val="24"/>
        </w:rPr>
        <w:t>However, we note that the thresholds above and the process are unusual</w:t>
      </w:r>
      <w:r>
        <w:rPr>
          <w:sz w:val="24"/>
          <w:szCs w:val="24"/>
        </w:rPr>
        <w:t xml:space="preserve"> and may not be considered</w:t>
      </w:r>
      <w:r w:rsidRPr="00EF5E9F">
        <w:rPr>
          <w:sz w:val="24"/>
          <w:szCs w:val="24"/>
        </w:rPr>
        <w:t xml:space="preserve"> a </w:t>
      </w:r>
      <w:r>
        <w:rPr>
          <w:sz w:val="24"/>
          <w:szCs w:val="24"/>
        </w:rPr>
        <w:t>common</w:t>
      </w:r>
      <w:r w:rsidRPr="00EF5E9F">
        <w:rPr>
          <w:sz w:val="24"/>
          <w:szCs w:val="24"/>
        </w:rPr>
        <w:t xml:space="preserve"> </w:t>
      </w:r>
      <w:r>
        <w:rPr>
          <w:sz w:val="24"/>
          <w:szCs w:val="24"/>
        </w:rPr>
        <w:t xml:space="preserve">business </w:t>
      </w:r>
      <w:r w:rsidRPr="00EF5E9F">
        <w:rPr>
          <w:sz w:val="24"/>
          <w:szCs w:val="24"/>
        </w:rPr>
        <w:t xml:space="preserve">practice.  </w:t>
      </w:r>
      <w:r>
        <w:rPr>
          <w:sz w:val="24"/>
          <w:szCs w:val="24"/>
        </w:rPr>
        <w:t>Many</w:t>
      </w:r>
      <w:r w:rsidRPr="00CC51C1">
        <w:rPr>
          <w:sz w:val="24"/>
          <w:szCs w:val="24"/>
        </w:rPr>
        <w:t xml:space="preserve"> organizations set a single materiality threshold</w:t>
      </w:r>
      <w:r>
        <w:rPr>
          <w:sz w:val="24"/>
          <w:szCs w:val="24"/>
        </w:rPr>
        <w:t>,</w:t>
      </w:r>
      <w:r w:rsidRPr="00CC51C1">
        <w:rPr>
          <w:sz w:val="24"/>
          <w:szCs w:val="24"/>
        </w:rPr>
        <w:t xml:space="preserve"> and usually set a due date within a week of year</w:t>
      </w:r>
      <w:r>
        <w:rPr>
          <w:sz w:val="24"/>
          <w:szCs w:val="24"/>
        </w:rPr>
        <w:t>-</w:t>
      </w:r>
      <w:r w:rsidRPr="00CC51C1">
        <w:rPr>
          <w:sz w:val="24"/>
          <w:szCs w:val="24"/>
        </w:rPr>
        <w:t xml:space="preserve">end to </w:t>
      </w:r>
      <w:r>
        <w:rPr>
          <w:sz w:val="24"/>
          <w:szCs w:val="24"/>
        </w:rPr>
        <w:t>record</w:t>
      </w:r>
      <w:r w:rsidRPr="00CC51C1">
        <w:rPr>
          <w:sz w:val="24"/>
          <w:szCs w:val="24"/>
        </w:rPr>
        <w:t xml:space="preserve"> these entries.  </w:t>
      </w:r>
      <w:r>
        <w:rPr>
          <w:sz w:val="24"/>
          <w:szCs w:val="24"/>
        </w:rPr>
        <w:t>Some universities (comparative in size and nature to UCR) set accruals as follows:</w:t>
      </w:r>
    </w:p>
    <w:p w14:paraId="359E7717" w14:textId="77777777" w:rsidR="00E65A2B" w:rsidRDefault="00E65A2B" w:rsidP="00886EE7">
      <w:pPr>
        <w:pStyle w:val="ListParagraph"/>
        <w:ind w:left="1140"/>
        <w:rPr>
          <w:sz w:val="24"/>
          <w:szCs w:val="24"/>
        </w:rPr>
      </w:pPr>
    </w:p>
    <w:p w14:paraId="1B4B6D46" w14:textId="77777777" w:rsidR="00E65A2B" w:rsidRDefault="00E65A2B">
      <w:pPr>
        <w:pStyle w:val="ListParagraph"/>
        <w:numPr>
          <w:ilvl w:val="0"/>
          <w:numId w:val="50"/>
        </w:numPr>
        <w:rPr>
          <w:sz w:val="24"/>
          <w:szCs w:val="24"/>
        </w:rPr>
      </w:pPr>
      <w:r>
        <w:rPr>
          <w:sz w:val="24"/>
          <w:szCs w:val="24"/>
        </w:rPr>
        <w:t>UC Davis - $10,000 threshold</w:t>
      </w:r>
      <w:r>
        <w:rPr>
          <w:rStyle w:val="FootnoteReference"/>
          <w:sz w:val="24"/>
          <w:szCs w:val="24"/>
        </w:rPr>
        <w:footnoteReference w:id="2"/>
      </w:r>
    </w:p>
    <w:p w14:paraId="37ABC795" w14:textId="77777777" w:rsidR="00E65A2B" w:rsidRDefault="00E65A2B">
      <w:pPr>
        <w:pStyle w:val="ListParagraph"/>
        <w:numPr>
          <w:ilvl w:val="0"/>
          <w:numId w:val="50"/>
        </w:numPr>
        <w:rPr>
          <w:sz w:val="24"/>
          <w:szCs w:val="24"/>
        </w:rPr>
      </w:pPr>
      <w:r>
        <w:rPr>
          <w:sz w:val="24"/>
          <w:szCs w:val="24"/>
        </w:rPr>
        <w:t>University of Texas – Dallas – by day one of close - $2,000 threshold</w:t>
      </w:r>
      <w:r>
        <w:rPr>
          <w:rStyle w:val="FootnoteReference"/>
          <w:sz w:val="24"/>
          <w:szCs w:val="24"/>
        </w:rPr>
        <w:footnoteReference w:id="3"/>
      </w:r>
    </w:p>
    <w:p w14:paraId="54147EF6" w14:textId="77777777" w:rsidR="00E65A2B" w:rsidRPr="00CC51C1" w:rsidRDefault="00E65A2B">
      <w:pPr>
        <w:pStyle w:val="ListParagraph"/>
        <w:numPr>
          <w:ilvl w:val="0"/>
          <w:numId w:val="50"/>
        </w:numPr>
        <w:rPr>
          <w:sz w:val="24"/>
          <w:szCs w:val="24"/>
        </w:rPr>
      </w:pPr>
      <w:r>
        <w:rPr>
          <w:sz w:val="24"/>
          <w:szCs w:val="24"/>
        </w:rPr>
        <w:t>The Ohio State University System</w:t>
      </w:r>
      <w:r w:rsidRPr="00801CED">
        <w:rPr>
          <w:sz w:val="24"/>
          <w:szCs w:val="24"/>
        </w:rPr>
        <w:t xml:space="preserve"> </w:t>
      </w:r>
      <w:r>
        <w:rPr>
          <w:sz w:val="24"/>
          <w:szCs w:val="24"/>
        </w:rPr>
        <w:t>–</w:t>
      </w:r>
      <w:r w:rsidRPr="008B223C">
        <w:rPr>
          <w:sz w:val="24"/>
          <w:szCs w:val="24"/>
        </w:rPr>
        <w:t xml:space="preserve"> </w:t>
      </w:r>
      <w:r w:rsidRPr="00801CED">
        <w:rPr>
          <w:sz w:val="24"/>
          <w:szCs w:val="24"/>
        </w:rPr>
        <w:t xml:space="preserve">within </w:t>
      </w:r>
      <w:r>
        <w:rPr>
          <w:sz w:val="24"/>
          <w:szCs w:val="24"/>
        </w:rPr>
        <w:t>five</w:t>
      </w:r>
      <w:r w:rsidRPr="008B223C">
        <w:rPr>
          <w:sz w:val="24"/>
          <w:szCs w:val="24"/>
        </w:rPr>
        <w:t xml:space="preserve"> days of year end</w:t>
      </w:r>
      <w:r w:rsidRPr="00801CED">
        <w:rPr>
          <w:sz w:val="24"/>
          <w:szCs w:val="24"/>
        </w:rPr>
        <w:t xml:space="preserve"> (nine</w:t>
      </w:r>
      <w:r w:rsidRPr="008B223C">
        <w:rPr>
          <w:sz w:val="24"/>
          <w:szCs w:val="24"/>
        </w:rPr>
        <w:t xml:space="preserve"> days for health system) – threshold not specified</w:t>
      </w:r>
      <w:r>
        <w:rPr>
          <w:rStyle w:val="FootnoteReference"/>
          <w:sz w:val="24"/>
          <w:szCs w:val="24"/>
        </w:rPr>
        <w:footnoteReference w:id="4"/>
      </w:r>
    </w:p>
    <w:p w14:paraId="3157896C" w14:textId="77777777" w:rsidR="00E65A2B" w:rsidRDefault="00E65A2B" w:rsidP="00886EE7">
      <w:pPr>
        <w:pStyle w:val="ListParagraph"/>
        <w:ind w:left="1140"/>
        <w:rPr>
          <w:sz w:val="24"/>
          <w:szCs w:val="24"/>
        </w:rPr>
      </w:pPr>
    </w:p>
    <w:p w14:paraId="063FB6D9" w14:textId="5128D8C3" w:rsidR="00E65A2B" w:rsidRPr="00D60B62" w:rsidRDefault="00E65A2B" w:rsidP="00494DE8">
      <w:pPr>
        <w:pStyle w:val="ListParagraph"/>
        <w:ind w:left="1080"/>
        <w:rPr>
          <w:sz w:val="24"/>
          <w:szCs w:val="24"/>
        </w:rPr>
      </w:pPr>
      <w:r>
        <w:rPr>
          <w:sz w:val="24"/>
          <w:szCs w:val="24"/>
        </w:rPr>
        <w:t xml:space="preserve">To tier the accrual thresholds over an extended period of time implies that we are creating accruals based on the invoices presented after year end (which can be incomplete) versus a more sound accrual process driven by commitments (contracts and POs) and receipts of goods and services.  </w:t>
      </w:r>
    </w:p>
    <w:p w14:paraId="555668AA" w14:textId="77777777" w:rsidR="00E65A2B" w:rsidRDefault="00E65A2B" w:rsidP="00494DE8">
      <w:pPr>
        <w:pStyle w:val="ListParagraph"/>
        <w:ind w:left="1080"/>
        <w:rPr>
          <w:sz w:val="24"/>
          <w:szCs w:val="24"/>
        </w:rPr>
      </w:pPr>
    </w:p>
    <w:p w14:paraId="6EFA26AF" w14:textId="77777777" w:rsidR="00E65A2B" w:rsidRPr="00EF5E9F" w:rsidRDefault="00E65A2B" w:rsidP="00494DE8">
      <w:pPr>
        <w:pStyle w:val="ListParagraph"/>
        <w:ind w:left="1080"/>
        <w:rPr>
          <w:sz w:val="24"/>
          <w:szCs w:val="24"/>
        </w:rPr>
      </w:pPr>
      <w:r>
        <w:rPr>
          <w:sz w:val="24"/>
          <w:szCs w:val="24"/>
        </w:rPr>
        <w:t xml:space="preserve">UCR does not have an automated accrual process (discussed below), and the process </w:t>
      </w:r>
      <w:r w:rsidRPr="00EF5E9F">
        <w:rPr>
          <w:sz w:val="24"/>
          <w:szCs w:val="24"/>
        </w:rPr>
        <w:t>to identify</w:t>
      </w:r>
      <w:r>
        <w:rPr>
          <w:sz w:val="24"/>
          <w:szCs w:val="24"/>
        </w:rPr>
        <w:t xml:space="preserve"> and record</w:t>
      </w:r>
      <w:r w:rsidRPr="00EF5E9F">
        <w:rPr>
          <w:sz w:val="24"/>
          <w:szCs w:val="24"/>
        </w:rPr>
        <w:t xml:space="preserve"> accruals is decentralized</w:t>
      </w:r>
      <w:r>
        <w:rPr>
          <w:sz w:val="24"/>
          <w:szCs w:val="24"/>
        </w:rPr>
        <w:t xml:space="preserve"> and </w:t>
      </w:r>
      <w:r w:rsidRPr="00EF5E9F">
        <w:rPr>
          <w:sz w:val="24"/>
          <w:szCs w:val="24"/>
        </w:rPr>
        <w:t xml:space="preserve">manual.  </w:t>
      </w:r>
      <w:r>
        <w:rPr>
          <w:sz w:val="24"/>
          <w:szCs w:val="24"/>
        </w:rPr>
        <w:t>At UCR, t</w:t>
      </w:r>
      <w:r w:rsidRPr="00EF5E9F">
        <w:rPr>
          <w:sz w:val="24"/>
          <w:szCs w:val="24"/>
        </w:rPr>
        <w:t>he</w:t>
      </w:r>
      <w:r>
        <w:rPr>
          <w:sz w:val="24"/>
          <w:szCs w:val="24"/>
        </w:rPr>
        <w:t xml:space="preserve">re were 189 </w:t>
      </w:r>
      <w:r w:rsidRPr="00EF5E9F">
        <w:rPr>
          <w:sz w:val="24"/>
          <w:szCs w:val="24"/>
        </w:rPr>
        <w:t xml:space="preserve">manual </w:t>
      </w:r>
      <w:r>
        <w:rPr>
          <w:sz w:val="24"/>
          <w:szCs w:val="24"/>
        </w:rPr>
        <w:t>ACR (</w:t>
      </w:r>
      <w:r w:rsidRPr="003B2851">
        <w:rPr>
          <w:sz w:val="24"/>
          <w:szCs w:val="24"/>
        </w:rPr>
        <w:t>accrual</w:t>
      </w:r>
      <w:r>
        <w:rPr>
          <w:sz w:val="24"/>
          <w:szCs w:val="24"/>
        </w:rPr>
        <w:t>/reversal)</w:t>
      </w:r>
      <w:r w:rsidRPr="003B2851">
        <w:rPr>
          <w:sz w:val="24"/>
          <w:szCs w:val="24"/>
        </w:rPr>
        <w:t xml:space="preserve"> journals</w:t>
      </w:r>
      <w:r>
        <w:rPr>
          <w:sz w:val="24"/>
          <w:szCs w:val="24"/>
        </w:rPr>
        <w:t xml:space="preserve"> with 4,031 journal lines</w:t>
      </w:r>
      <w:r w:rsidRPr="00EF5E9F">
        <w:rPr>
          <w:sz w:val="24"/>
          <w:szCs w:val="24"/>
        </w:rPr>
        <w:t xml:space="preserve"> at FY</w:t>
      </w:r>
      <w:r>
        <w:rPr>
          <w:sz w:val="24"/>
          <w:szCs w:val="24"/>
        </w:rPr>
        <w:t xml:space="preserve"> ended 2015-</w:t>
      </w:r>
      <w:r w:rsidRPr="00EF5E9F">
        <w:rPr>
          <w:sz w:val="24"/>
          <w:szCs w:val="24"/>
        </w:rPr>
        <w:t>16</w:t>
      </w:r>
      <w:r>
        <w:rPr>
          <w:sz w:val="24"/>
          <w:szCs w:val="24"/>
        </w:rPr>
        <w:t xml:space="preserve">.  This </w:t>
      </w:r>
      <w:r w:rsidRPr="00EF5E9F">
        <w:rPr>
          <w:sz w:val="24"/>
          <w:szCs w:val="24"/>
        </w:rPr>
        <w:t>includes some items that are no</w:t>
      </w:r>
      <w:r w:rsidRPr="003B2851">
        <w:rPr>
          <w:sz w:val="24"/>
          <w:szCs w:val="24"/>
        </w:rPr>
        <w:t>t really accruals</w:t>
      </w:r>
      <w:r>
        <w:rPr>
          <w:rStyle w:val="FootnoteReference"/>
          <w:sz w:val="24"/>
          <w:szCs w:val="24"/>
        </w:rPr>
        <w:footnoteReference w:id="5"/>
      </w:r>
      <w:r w:rsidRPr="003B2851">
        <w:rPr>
          <w:sz w:val="24"/>
          <w:szCs w:val="24"/>
        </w:rPr>
        <w:t xml:space="preserve"> as noted in O</w:t>
      </w:r>
      <w:r>
        <w:rPr>
          <w:sz w:val="24"/>
          <w:szCs w:val="24"/>
        </w:rPr>
        <w:t>bservation</w:t>
      </w:r>
      <w:r w:rsidRPr="003B2851">
        <w:rPr>
          <w:sz w:val="24"/>
          <w:szCs w:val="24"/>
        </w:rPr>
        <w:t xml:space="preserve"> III.C</w:t>
      </w:r>
      <w:r w:rsidRPr="00EF5E9F">
        <w:rPr>
          <w:sz w:val="24"/>
          <w:szCs w:val="24"/>
        </w:rPr>
        <w:t xml:space="preserve"> </w:t>
      </w:r>
      <w:r w:rsidRPr="003B2851">
        <w:rPr>
          <w:sz w:val="24"/>
          <w:szCs w:val="24"/>
        </w:rPr>
        <w:t xml:space="preserve">above. </w:t>
      </w:r>
      <w:r>
        <w:rPr>
          <w:sz w:val="24"/>
          <w:szCs w:val="24"/>
        </w:rPr>
        <w:t xml:space="preserve"> </w:t>
      </w:r>
      <w:r w:rsidRPr="003B2851">
        <w:rPr>
          <w:sz w:val="24"/>
          <w:szCs w:val="24"/>
        </w:rPr>
        <w:t>The</w:t>
      </w:r>
      <w:r>
        <w:rPr>
          <w:sz w:val="24"/>
          <w:szCs w:val="24"/>
        </w:rPr>
        <w:t xml:space="preserve"> accrual</w:t>
      </w:r>
      <w:r w:rsidRPr="003B2851">
        <w:rPr>
          <w:sz w:val="24"/>
          <w:szCs w:val="24"/>
        </w:rPr>
        <w:t xml:space="preserve"> postings were made </w:t>
      </w:r>
      <w:r>
        <w:rPr>
          <w:sz w:val="24"/>
          <w:szCs w:val="24"/>
        </w:rPr>
        <w:t xml:space="preserve">from July 2, 2016 </w:t>
      </w:r>
      <w:r w:rsidRPr="00EF5E9F">
        <w:rPr>
          <w:sz w:val="24"/>
          <w:szCs w:val="24"/>
        </w:rPr>
        <w:t xml:space="preserve">through August 4, 2016.  </w:t>
      </w:r>
      <w:r>
        <w:rPr>
          <w:sz w:val="24"/>
          <w:szCs w:val="24"/>
        </w:rPr>
        <w:t>Although w</w:t>
      </w:r>
      <w:r w:rsidRPr="00EF5E9F">
        <w:rPr>
          <w:sz w:val="24"/>
          <w:szCs w:val="24"/>
        </w:rPr>
        <w:t xml:space="preserve">e </w:t>
      </w:r>
      <w:r>
        <w:rPr>
          <w:sz w:val="24"/>
          <w:szCs w:val="24"/>
        </w:rPr>
        <w:t>were unable to</w:t>
      </w:r>
      <w:r w:rsidRPr="00EF5E9F">
        <w:rPr>
          <w:sz w:val="24"/>
          <w:szCs w:val="24"/>
        </w:rPr>
        <w:t xml:space="preserve"> determine the exact number of individuals submitting accrual entries</w:t>
      </w:r>
      <w:r>
        <w:rPr>
          <w:sz w:val="24"/>
          <w:szCs w:val="24"/>
        </w:rPr>
        <w:t xml:space="preserve"> (because they are centrally posted)</w:t>
      </w:r>
      <w:r w:rsidRPr="00EF5E9F">
        <w:rPr>
          <w:sz w:val="24"/>
          <w:szCs w:val="24"/>
        </w:rPr>
        <w:t xml:space="preserve">, </w:t>
      </w:r>
      <w:r>
        <w:rPr>
          <w:sz w:val="24"/>
          <w:szCs w:val="24"/>
        </w:rPr>
        <w:t xml:space="preserve">we have reason to believe that this is a high number.  </w:t>
      </w:r>
    </w:p>
    <w:p w14:paraId="0DAAFB1E" w14:textId="77777777" w:rsidR="00E65A2B" w:rsidRPr="00EF5E9F" w:rsidRDefault="00E65A2B" w:rsidP="00494DE8">
      <w:pPr>
        <w:pStyle w:val="ListParagraph"/>
        <w:ind w:left="1080"/>
        <w:rPr>
          <w:sz w:val="24"/>
          <w:szCs w:val="24"/>
        </w:rPr>
      </w:pPr>
    </w:p>
    <w:p w14:paraId="737064F8" w14:textId="77777777" w:rsidR="00E65A2B" w:rsidRPr="008B223C" w:rsidRDefault="00E65A2B" w:rsidP="00494DE8">
      <w:pPr>
        <w:ind w:left="1080"/>
        <w:rPr>
          <w:sz w:val="24"/>
          <w:szCs w:val="24"/>
        </w:rPr>
      </w:pPr>
      <w:r w:rsidRPr="00D60B62">
        <w:rPr>
          <w:b/>
          <w:sz w:val="24"/>
          <w:szCs w:val="24"/>
          <w:u w:val="single"/>
        </w:rPr>
        <w:t>Automated Accrual Capability</w:t>
      </w:r>
      <w:r>
        <w:rPr>
          <w:sz w:val="24"/>
          <w:szCs w:val="24"/>
        </w:rPr>
        <w:t xml:space="preserve"> Some</w:t>
      </w:r>
      <w:r w:rsidRPr="00EF5E9F">
        <w:rPr>
          <w:sz w:val="24"/>
          <w:szCs w:val="24"/>
        </w:rPr>
        <w:t xml:space="preserve"> organizations use their financial systems to </w:t>
      </w:r>
      <w:r>
        <w:rPr>
          <w:sz w:val="24"/>
          <w:szCs w:val="24"/>
        </w:rPr>
        <w:t>record</w:t>
      </w:r>
      <w:r w:rsidRPr="00EF5E9F">
        <w:rPr>
          <w:sz w:val="24"/>
          <w:szCs w:val="24"/>
        </w:rPr>
        <w:t xml:space="preserve"> automated P</w:t>
      </w:r>
      <w:r>
        <w:rPr>
          <w:sz w:val="24"/>
          <w:szCs w:val="24"/>
        </w:rPr>
        <w:t>urchase Orders (P</w:t>
      </w:r>
      <w:r w:rsidRPr="00EF5E9F">
        <w:rPr>
          <w:sz w:val="24"/>
          <w:szCs w:val="24"/>
        </w:rPr>
        <w:t>O</w:t>
      </w:r>
      <w:r>
        <w:rPr>
          <w:sz w:val="24"/>
          <w:szCs w:val="24"/>
        </w:rPr>
        <w:t>)</w:t>
      </w:r>
      <w:r w:rsidRPr="00EF5E9F">
        <w:rPr>
          <w:sz w:val="24"/>
          <w:szCs w:val="24"/>
        </w:rPr>
        <w:t xml:space="preserve"> </w:t>
      </w:r>
      <w:r>
        <w:rPr>
          <w:sz w:val="24"/>
          <w:szCs w:val="24"/>
        </w:rPr>
        <w:t>R</w:t>
      </w:r>
      <w:r w:rsidRPr="00EF5E9F">
        <w:rPr>
          <w:sz w:val="24"/>
          <w:szCs w:val="24"/>
        </w:rPr>
        <w:t xml:space="preserve">eceipt </w:t>
      </w:r>
      <w:r>
        <w:rPr>
          <w:sz w:val="24"/>
          <w:szCs w:val="24"/>
        </w:rPr>
        <w:t>A</w:t>
      </w:r>
      <w:r w:rsidRPr="00EF5E9F">
        <w:rPr>
          <w:sz w:val="24"/>
          <w:szCs w:val="24"/>
        </w:rPr>
        <w:t>ccrual</w:t>
      </w:r>
      <w:r>
        <w:rPr>
          <w:sz w:val="24"/>
          <w:szCs w:val="24"/>
        </w:rPr>
        <w:t xml:space="preserve"> (PORA)</w:t>
      </w:r>
      <w:r w:rsidRPr="00EF5E9F">
        <w:rPr>
          <w:sz w:val="24"/>
          <w:szCs w:val="24"/>
        </w:rPr>
        <w:t xml:space="preserve"> entr</w:t>
      </w:r>
      <w:r>
        <w:rPr>
          <w:sz w:val="24"/>
          <w:szCs w:val="24"/>
        </w:rPr>
        <w:t>ies</w:t>
      </w:r>
      <w:r w:rsidRPr="00EF5E9F">
        <w:rPr>
          <w:sz w:val="24"/>
          <w:szCs w:val="24"/>
        </w:rPr>
        <w:t xml:space="preserve"> </w:t>
      </w:r>
      <w:r>
        <w:rPr>
          <w:sz w:val="24"/>
          <w:szCs w:val="24"/>
        </w:rPr>
        <w:t xml:space="preserve">thus </w:t>
      </w:r>
      <w:r w:rsidRPr="00EF5E9F">
        <w:rPr>
          <w:sz w:val="24"/>
          <w:szCs w:val="24"/>
        </w:rPr>
        <w:t xml:space="preserve">reducing manual accruals.  </w:t>
      </w:r>
      <w:r w:rsidRPr="003B2851">
        <w:rPr>
          <w:sz w:val="24"/>
          <w:szCs w:val="24"/>
        </w:rPr>
        <w:t>UCR</w:t>
      </w:r>
      <w:r>
        <w:rPr>
          <w:sz w:val="24"/>
          <w:szCs w:val="24"/>
        </w:rPr>
        <w:t>’s</w:t>
      </w:r>
      <w:r w:rsidRPr="00EF5E9F">
        <w:rPr>
          <w:sz w:val="24"/>
          <w:szCs w:val="24"/>
        </w:rPr>
        <w:t xml:space="preserve"> PeopleSoft ERP system has </w:t>
      </w:r>
      <w:r>
        <w:rPr>
          <w:sz w:val="24"/>
          <w:szCs w:val="24"/>
        </w:rPr>
        <w:t>PORA</w:t>
      </w:r>
      <w:r w:rsidRPr="00EF5E9F">
        <w:rPr>
          <w:sz w:val="24"/>
          <w:szCs w:val="24"/>
        </w:rPr>
        <w:t xml:space="preserve"> functionality, where it can make a single, centralized, automatic, highly accurate, and timely accrual entry</w:t>
      </w:r>
      <w:r>
        <w:rPr>
          <w:rStyle w:val="FootnoteReference"/>
          <w:sz w:val="24"/>
          <w:szCs w:val="24"/>
        </w:rPr>
        <w:footnoteReference w:id="6"/>
      </w:r>
      <w:r w:rsidRPr="00EF5E9F">
        <w:rPr>
          <w:sz w:val="24"/>
          <w:szCs w:val="24"/>
        </w:rPr>
        <w:t xml:space="preserve">.  </w:t>
      </w:r>
      <w:r>
        <w:rPr>
          <w:sz w:val="24"/>
          <w:szCs w:val="24"/>
        </w:rPr>
        <w:t>UCR does not</w:t>
      </w:r>
      <w:r w:rsidRPr="00EF5E9F">
        <w:rPr>
          <w:sz w:val="24"/>
          <w:szCs w:val="24"/>
        </w:rPr>
        <w:t xml:space="preserve"> </w:t>
      </w:r>
      <w:r>
        <w:rPr>
          <w:sz w:val="24"/>
          <w:szCs w:val="24"/>
        </w:rPr>
        <w:t xml:space="preserve">currently </w:t>
      </w:r>
      <w:r w:rsidRPr="00EF5E9F">
        <w:rPr>
          <w:sz w:val="24"/>
          <w:szCs w:val="24"/>
        </w:rPr>
        <w:t>use this functionality</w:t>
      </w:r>
      <w:r>
        <w:rPr>
          <w:rStyle w:val="FootnoteReference"/>
          <w:sz w:val="24"/>
          <w:szCs w:val="24"/>
        </w:rPr>
        <w:footnoteReference w:id="7"/>
      </w:r>
      <w:r w:rsidRPr="00EF5E9F">
        <w:rPr>
          <w:sz w:val="24"/>
          <w:szCs w:val="24"/>
        </w:rPr>
        <w:t xml:space="preserve">. </w:t>
      </w:r>
      <w:r w:rsidRPr="008B223C">
        <w:rPr>
          <w:sz w:val="24"/>
          <w:szCs w:val="24"/>
        </w:rPr>
        <w:t xml:space="preserve">Remaining, non-automated accruals, (i.e. non-PO items), which should be </w:t>
      </w:r>
      <w:r>
        <w:rPr>
          <w:sz w:val="24"/>
          <w:szCs w:val="24"/>
        </w:rPr>
        <w:t>fewer</w:t>
      </w:r>
      <w:r w:rsidRPr="008B223C">
        <w:rPr>
          <w:sz w:val="24"/>
          <w:szCs w:val="24"/>
        </w:rPr>
        <w:t xml:space="preserve">, </w:t>
      </w:r>
      <w:r>
        <w:rPr>
          <w:sz w:val="24"/>
          <w:szCs w:val="24"/>
        </w:rPr>
        <w:t>are</w:t>
      </w:r>
      <w:r w:rsidRPr="008B223C">
        <w:rPr>
          <w:sz w:val="24"/>
          <w:szCs w:val="24"/>
        </w:rPr>
        <w:t xml:space="preserve"> manually accrued.  </w:t>
      </w:r>
      <w:r>
        <w:rPr>
          <w:sz w:val="24"/>
          <w:szCs w:val="24"/>
        </w:rPr>
        <w:t xml:space="preserve">Accounting Services indicated that there are several factors contributing to our inability to use PORA. For example, UCR uses eBuy, an in-house developed system, to capture many components of the Purchase Order. While some of those data fields are interfaced to the PeopleSoft PO module, not all the required fields are interfaced or captured at the same level in both systems.  </w:t>
      </w:r>
    </w:p>
    <w:p w14:paraId="39DE6B57" w14:textId="77777777" w:rsidR="00E65A2B" w:rsidRDefault="00E65A2B" w:rsidP="00494DE8">
      <w:pPr>
        <w:pStyle w:val="ListParagraph"/>
        <w:ind w:left="1080"/>
        <w:rPr>
          <w:sz w:val="24"/>
          <w:szCs w:val="24"/>
        </w:rPr>
      </w:pPr>
    </w:p>
    <w:p w14:paraId="24C8BC27" w14:textId="77777777" w:rsidR="00E65A2B" w:rsidRDefault="00E65A2B" w:rsidP="00494DE8">
      <w:pPr>
        <w:ind w:left="1080"/>
        <w:rPr>
          <w:sz w:val="24"/>
          <w:szCs w:val="24"/>
        </w:rPr>
      </w:pPr>
      <w:r>
        <w:rPr>
          <w:b/>
          <w:sz w:val="24"/>
          <w:szCs w:val="24"/>
          <w:u w:val="single"/>
        </w:rPr>
        <w:t xml:space="preserve">Timing of </w:t>
      </w:r>
      <w:r w:rsidRPr="00BA7470">
        <w:rPr>
          <w:b/>
          <w:sz w:val="24"/>
          <w:szCs w:val="24"/>
          <w:u w:val="single"/>
        </w:rPr>
        <w:t>Closing AP</w:t>
      </w:r>
      <w:r w:rsidRPr="00BA7470">
        <w:rPr>
          <w:sz w:val="24"/>
          <w:szCs w:val="24"/>
        </w:rPr>
        <w:t xml:space="preserve"> </w:t>
      </w:r>
      <w:r>
        <w:rPr>
          <w:sz w:val="24"/>
          <w:szCs w:val="24"/>
        </w:rPr>
        <w:t>O</w:t>
      </w:r>
      <w:r w:rsidRPr="00205B9A">
        <w:rPr>
          <w:sz w:val="24"/>
          <w:szCs w:val="24"/>
        </w:rPr>
        <w:t xml:space="preserve">ne factor that may be contributing to </w:t>
      </w:r>
      <w:r>
        <w:rPr>
          <w:sz w:val="24"/>
          <w:szCs w:val="24"/>
        </w:rPr>
        <w:t xml:space="preserve">the </w:t>
      </w:r>
      <w:r w:rsidRPr="00205B9A">
        <w:rPr>
          <w:sz w:val="24"/>
          <w:szCs w:val="24"/>
        </w:rPr>
        <w:t xml:space="preserve">high number of accruals is the practice of closing the Accounts Payable </w:t>
      </w:r>
      <w:r>
        <w:rPr>
          <w:sz w:val="24"/>
          <w:szCs w:val="24"/>
        </w:rPr>
        <w:t xml:space="preserve">(AP) </w:t>
      </w:r>
      <w:r w:rsidRPr="00205B9A">
        <w:rPr>
          <w:sz w:val="24"/>
          <w:szCs w:val="24"/>
        </w:rPr>
        <w:t>subledger on June 30</w:t>
      </w:r>
      <w:r w:rsidRPr="00205B9A">
        <w:rPr>
          <w:sz w:val="24"/>
          <w:szCs w:val="24"/>
          <w:vertAlign w:val="superscript"/>
        </w:rPr>
        <w:t>th</w:t>
      </w:r>
      <w:r w:rsidRPr="00205B9A">
        <w:rPr>
          <w:sz w:val="24"/>
          <w:szCs w:val="24"/>
        </w:rPr>
        <w:t xml:space="preserve">.  Many companies hold open their AP subledger for an extra day or two in order to get invoices received before year end into the system and posted to the prior year.  </w:t>
      </w:r>
    </w:p>
    <w:p w14:paraId="43E6EBF3" w14:textId="77777777" w:rsidR="00E65A2B" w:rsidRDefault="00E65A2B" w:rsidP="00494DE8">
      <w:pPr>
        <w:ind w:left="1080"/>
        <w:rPr>
          <w:sz w:val="24"/>
          <w:szCs w:val="24"/>
        </w:rPr>
      </w:pPr>
    </w:p>
    <w:p w14:paraId="0CF6A392" w14:textId="77777777" w:rsidR="00E65A2B" w:rsidRPr="00205B9A" w:rsidRDefault="00E65A2B" w:rsidP="00494DE8">
      <w:pPr>
        <w:ind w:left="1080"/>
        <w:rPr>
          <w:sz w:val="24"/>
          <w:szCs w:val="24"/>
        </w:rPr>
      </w:pPr>
      <w:r w:rsidRPr="00BA7470">
        <w:rPr>
          <w:b/>
          <w:sz w:val="24"/>
          <w:szCs w:val="24"/>
          <w:u w:val="single"/>
        </w:rPr>
        <w:t>System Integration</w:t>
      </w:r>
      <w:r>
        <w:rPr>
          <w:sz w:val="24"/>
          <w:szCs w:val="24"/>
        </w:rPr>
        <w:t xml:space="preserve"> </w:t>
      </w:r>
      <w:r w:rsidRPr="00205B9A">
        <w:rPr>
          <w:sz w:val="24"/>
          <w:szCs w:val="24"/>
        </w:rPr>
        <w:t>Another factor contributing to</w:t>
      </w:r>
      <w:r>
        <w:rPr>
          <w:sz w:val="24"/>
          <w:szCs w:val="24"/>
        </w:rPr>
        <w:t xml:space="preserve"> the</w:t>
      </w:r>
      <w:r w:rsidRPr="00205B9A">
        <w:rPr>
          <w:sz w:val="24"/>
          <w:szCs w:val="24"/>
        </w:rPr>
        <w:t xml:space="preserve"> high number of manual accrual JEs at year end is the fact that A</w:t>
      </w:r>
      <w:r>
        <w:rPr>
          <w:sz w:val="24"/>
          <w:szCs w:val="24"/>
        </w:rPr>
        <w:t xml:space="preserve">rchitects </w:t>
      </w:r>
      <w:r w:rsidRPr="00205B9A">
        <w:rPr>
          <w:sz w:val="24"/>
          <w:szCs w:val="24"/>
        </w:rPr>
        <w:t>&amp;</w:t>
      </w:r>
      <w:r>
        <w:rPr>
          <w:sz w:val="24"/>
          <w:szCs w:val="24"/>
        </w:rPr>
        <w:t xml:space="preserve"> </w:t>
      </w:r>
      <w:r w:rsidRPr="00205B9A">
        <w:rPr>
          <w:sz w:val="24"/>
          <w:szCs w:val="24"/>
        </w:rPr>
        <w:t>E</w:t>
      </w:r>
      <w:r>
        <w:rPr>
          <w:sz w:val="24"/>
          <w:szCs w:val="24"/>
        </w:rPr>
        <w:t>ngineers (A&amp;E)</w:t>
      </w:r>
      <w:r w:rsidRPr="00205B9A">
        <w:rPr>
          <w:sz w:val="24"/>
          <w:szCs w:val="24"/>
        </w:rPr>
        <w:t xml:space="preserve"> uses a separate cost accounting system CPM</w:t>
      </w:r>
      <w:r>
        <w:rPr>
          <w:sz w:val="24"/>
          <w:szCs w:val="24"/>
        </w:rPr>
        <w:t>X</w:t>
      </w:r>
      <w:r w:rsidRPr="00205B9A">
        <w:rPr>
          <w:sz w:val="24"/>
          <w:szCs w:val="24"/>
        </w:rPr>
        <w:t>, which does not interfa</w:t>
      </w:r>
      <w:r>
        <w:rPr>
          <w:sz w:val="24"/>
          <w:szCs w:val="24"/>
        </w:rPr>
        <w:t>ce its POs and contracts with the</w:t>
      </w:r>
      <w:r w:rsidRPr="00205B9A">
        <w:rPr>
          <w:sz w:val="24"/>
          <w:szCs w:val="24"/>
        </w:rPr>
        <w:t xml:space="preserve"> PeopleSoft AP system.  </w:t>
      </w:r>
      <w:r>
        <w:rPr>
          <w:sz w:val="24"/>
          <w:szCs w:val="24"/>
        </w:rPr>
        <w:t>A&amp;E has</w:t>
      </w:r>
      <w:r w:rsidRPr="00205B9A">
        <w:rPr>
          <w:sz w:val="24"/>
          <w:szCs w:val="24"/>
        </w:rPr>
        <w:t xml:space="preserve"> </w:t>
      </w:r>
      <w:r>
        <w:rPr>
          <w:sz w:val="24"/>
          <w:szCs w:val="24"/>
        </w:rPr>
        <w:t>a</w:t>
      </w:r>
      <w:r w:rsidRPr="00205B9A">
        <w:rPr>
          <w:sz w:val="24"/>
          <w:szCs w:val="24"/>
        </w:rPr>
        <w:t xml:space="preserve"> high volume </w:t>
      </w:r>
      <w:r>
        <w:rPr>
          <w:sz w:val="24"/>
          <w:szCs w:val="24"/>
        </w:rPr>
        <w:t xml:space="preserve">of </w:t>
      </w:r>
      <w:r w:rsidRPr="00205B9A">
        <w:rPr>
          <w:sz w:val="24"/>
          <w:szCs w:val="24"/>
        </w:rPr>
        <w:t>manual accrual</w:t>
      </w:r>
      <w:r>
        <w:rPr>
          <w:sz w:val="24"/>
          <w:szCs w:val="24"/>
        </w:rPr>
        <w:t>s entries</w:t>
      </w:r>
      <w:r w:rsidRPr="00205B9A">
        <w:rPr>
          <w:sz w:val="24"/>
          <w:szCs w:val="24"/>
        </w:rPr>
        <w:t xml:space="preserve">. </w:t>
      </w:r>
    </w:p>
    <w:p w14:paraId="6CEDC6CB" w14:textId="77777777" w:rsidR="00E65A2B" w:rsidRDefault="00E65A2B" w:rsidP="00494DE8">
      <w:pPr>
        <w:ind w:left="1080"/>
        <w:rPr>
          <w:b/>
          <w:sz w:val="24"/>
          <w:szCs w:val="24"/>
        </w:rPr>
      </w:pPr>
    </w:p>
    <w:p w14:paraId="78F040C5" w14:textId="77777777" w:rsidR="00E65A2B" w:rsidRDefault="00E65A2B" w:rsidP="00494DE8">
      <w:pPr>
        <w:ind w:left="1080"/>
        <w:rPr>
          <w:b/>
          <w:sz w:val="24"/>
          <w:szCs w:val="24"/>
        </w:rPr>
      </w:pPr>
      <w:r w:rsidRPr="004303AA">
        <w:rPr>
          <w:b/>
          <w:sz w:val="24"/>
          <w:szCs w:val="24"/>
          <w:u w:val="single"/>
        </w:rPr>
        <w:t>Period 998</w:t>
      </w:r>
      <w:r w:rsidRPr="00EF5E9F">
        <w:rPr>
          <w:b/>
          <w:sz w:val="24"/>
          <w:szCs w:val="24"/>
        </w:rPr>
        <w:t xml:space="preserve"> </w:t>
      </w:r>
      <w:r w:rsidRPr="004303AA">
        <w:rPr>
          <w:sz w:val="24"/>
          <w:szCs w:val="24"/>
        </w:rPr>
        <w:t>Period 998 is a period falling after period 12, and is usually reserved for year-end audit adjustments proposed by the external auditors as part of their financial audit</w:t>
      </w:r>
      <w:r w:rsidRPr="005B6486">
        <w:rPr>
          <w:sz w:val="24"/>
          <w:szCs w:val="24"/>
        </w:rPr>
        <w:t xml:space="preserve">.  Such entries are usually few in number and are </w:t>
      </w:r>
      <w:r>
        <w:rPr>
          <w:sz w:val="24"/>
          <w:szCs w:val="24"/>
        </w:rPr>
        <w:t>recorded</w:t>
      </w:r>
      <w:r w:rsidRPr="005B6486">
        <w:rPr>
          <w:sz w:val="24"/>
          <w:szCs w:val="24"/>
        </w:rPr>
        <w:t xml:space="preserve"> “topside”</w:t>
      </w:r>
      <w:r>
        <w:rPr>
          <w:sz w:val="24"/>
          <w:szCs w:val="24"/>
        </w:rPr>
        <w:t>,</w:t>
      </w:r>
      <w:r w:rsidRPr="005B6486">
        <w:rPr>
          <w:sz w:val="24"/>
          <w:szCs w:val="24"/>
        </w:rPr>
        <w:t xml:space="preserve"> which means that they are not </w:t>
      </w:r>
      <w:r>
        <w:rPr>
          <w:sz w:val="24"/>
          <w:szCs w:val="24"/>
        </w:rPr>
        <w:t>recorded</w:t>
      </w:r>
      <w:r w:rsidRPr="005B6486">
        <w:rPr>
          <w:sz w:val="24"/>
          <w:szCs w:val="24"/>
        </w:rPr>
        <w:t xml:space="preserve"> at the unit/department, project, fund level</w:t>
      </w:r>
      <w:r>
        <w:rPr>
          <w:sz w:val="24"/>
          <w:szCs w:val="24"/>
        </w:rPr>
        <w:t>.  Instead, t</w:t>
      </w:r>
      <w:r w:rsidRPr="005B6486">
        <w:rPr>
          <w:sz w:val="24"/>
          <w:szCs w:val="24"/>
        </w:rPr>
        <w:t xml:space="preserve">hey are </w:t>
      </w:r>
      <w:r>
        <w:rPr>
          <w:sz w:val="24"/>
          <w:szCs w:val="24"/>
        </w:rPr>
        <w:t>recorded</w:t>
      </w:r>
      <w:r w:rsidRPr="005B6486">
        <w:rPr>
          <w:sz w:val="24"/>
          <w:szCs w:val="24"/>
        </w:rPr>
        <w:t xml:space="preserve"> at the central office department to central office FAUs.</w:t>
      </w:r>
      <w:r>
        <w:rPr>
          <w:b/>
          <w:sz w:val="24"/>
          <w:szCs w:val="24"/>
        </w:rPr>
        <w:t xml:space="preserve">  </w:t>
      </w:r>
    </w:p>
    <w:p w14:paraId="33F1BC7B" w14:textId="77777777" w:rsidR="00E65A2B" w:rsidRDefault="00E65A2B" w:rsidP="00494DE8">
      <w:pPr>
        <w:ind w:left="1080"/>
        <w:rPr>
          <w:b/>
          <w:sz w:val="24"/>
          <w:szCs w:val="24"/>
        </w:rPr>
      </w:pPr>
    </w:p>
    <w:p w14:paraId="2FCD05FA" w14:textId="142C2590" w:rsidR="00E65A2B" w:rsidRDefault="00E65A2B" w:rsidP="00494DE8">
      <w:pPr>
        <w:ind w:left="1080"/>
        <w:rPr>
          <w:sz w:val="24"/>
          <w:szCs w:val="24"/>
        </w:rPr>
      </w:pPr>
      <w:r w:rsidRPr="00EF5E9F">
        <w:rPr>
          <w:sz w:val="24"/>
          <w:szCs w:val="24"/>
        </w:rPr>
        <w:t xml:space="preserve">UCR uses </w:t>
      </w:r>
      <w:r>
        <w:rPr>
          <w:sz w:val="24"/>
          <w:szCs w:val="24"/>
        </w:rPr>
        <w:t xml:space="preserve">period </w:t>
      </w:r>
      <w:r w:rsidRPr="00EF5E9F">
        <w:rPr>
          <w:sz w:val="24"/>
          <w:szCs w:val="24"/>
        </w:rPr>
        <w:t>998 different</w:t>
      </w:r>
      <w:r>
        <w:rPr>
          <w:sz w:val="24"/>
          <w:szCs w:val="24"/>
        </w:rPr>
        <w:t>ly</w:t>
      </w:r>
      <w:r w:rsidRPr="00EF5E9F">
        <w:rPr>
          <w:sz w:val="24"/>
          <w:szCs w:val="24"/>
        </w:rPr>
        <w:t xml:space="preserve">. </w:t>
      </w:r>
      <w:r w:rsidRPr="00C12637">
        <w:rPr>
          <w:sz w:val="24"/>
          <w:szCs w:val="24"/>
        </w:rPr>
        <w:t xml:space="preserve"> </w:t>
      </w:r>
      <w:r>
        <w:rPr>
          <w:sz w:val="24"/>
          <w:szCs w:val="24"/>
        </w:rPr>
        <w:t>In this period, w</w:t>
      </w:r>
      <w:r w:rsidRPr="00C12637">
        <w:rPr>
          <w:sz w:val="24"/>
          <w:szCs w:val="24"/>
        </w:rPr>
        <w:t>e noted</w:t>
      </w:r>
      <w:r w:rsidRPr="00EF5E9F">
        <w:rPr>
          <w:sz w:val="24"/>
          <w:szCs w:val="24"/>
        </w:rPr>
        <w:t xml:space="preserve"> 342 J</w:t>
      </w:r>
      <w:r>
        <w:rPr>
          <w:sz w:val="24"/>
          <w:szCs w:val="24"/>
        </w:rPr>
        <w:t xml:space="preserve">ournal </w:t>
      </w:r>
      <w:r w:rsidRPr="00EF5E9F">
        <w:rPr>
          <w:sz w:val="24"/>
          <w:szCs w:val="24"/>
        </w:rPr>
        <w:t>E</w:t>
      </w:r>
      <w:r>
        <w:rPr>
          <w:sz w:val="24"/>
          <w:szCs w:val="24"/>
        </w:rPr>
        <w:t>ntries (JE</w:t>
      </w:r>
      <w:r w:rsidRPr="00EF5E9F">
        <w:rPr>
          <w:sz w:val="24"/>
          <w:szCs w:val="24"/>
        </w:rPr>
        <w:t>s</w:t>
      </w:r>
      <w:r>
        <w:rPr>
          <w:sz w:val="24"/>
          <w:szCs w:val="24"/>
        </w:rPr>
        <w:t>)</w:t>
      </w:r>
      <w:r w:rsidRPr="00EF5E9F">
        <w:rPr>
          <w:sz w:val="24"/>
          <w:szCs w:val="24"/>
        </w:rPr>
        <w:t xml:space="preserve"> </w:t>
      </w:r>
      <w:r>
        <w:rPr>
          <w:sz w:val="24"/>
          <w:szCs w:val="24"/>
        </w:rPr>
        <w:t>containing</w:t>
      </w:r>
      <w:r w:rsidRPr="00EF5E9F">
        <w:rPr>
          <w:sz w:val="24"/>
          <w:szCs w:val="24"/>
        </w:rPr>
        <w:t xml:space="preserve"> 7,524</w:t>
      </w:r>
      <w:r>
        <w:rPr>
          <w:sz w:val="24"/>
          <w:szCs w:val="24"/>
        </w:rPr>
        <w:t xml:space="preserve"> JE</w:t>
      </w:r>
      <w:r w:rsidRPr="00EF5E9F">
        <w:rPr>
          <w:sz w:val="24"/>
          <w:szCs w:val="24"/>
        </w:rPr>
        <w:t xml:space="preserve"> lines</w:t>
      </w:r>
      <w:r>
        <w:rPr>
          <w:sz w:val="24"/>
          <w:szCs w:val="24"/>
        </w:rPr>
        <w:t xml:space="preserve"> that were made b</w:t>
      </w:r>
      <w:r w:rsidRPr="00EF5E9F">
        <w:rPr>
          <w:sz w:val="24"/>
          <w:szCs w:val="24"/>
        </w:rPr>
        <w:t xml:space="preserve">etween </w:t>
      </w:r>
      <w:r>
        <w:rPr>
          <w:sz w:val="24"/>
          <w:szCs w:val="24"/>
        </w:rPr>
        <w:t>July 12, 2016</w:t>
      </w:r>
      <w:r w:rsidRPr="00EF5E9F">
        <w:rPr>
          <w:sz w:val="24"/>
          <w:szCs w:val="24"/>
        </w:rPr>
        <w:t xml:space="preserve"> and </w:t>
      </w:r>
      <w:r>
        <w:rPr>
          <w:sz w:val="24"/>
          <w:szCs w:val="24"/>
        </w:rPr>
        <w:t xml:space="preserve">August 6, 2016.  Although some of these entries originate from a number of individuals in various departments, they were entered by the </w:t>
      </w:r>
      <w:r w:rsidR="004C7835">
        <w:rPr>
          <w:sz w:val="24"/>
          <w:szCs w:val="24"/>
        </w:rPr>
        <w:t>C</w:t>
      </w:r>
      <w:r w:rsidRPr="00EF5E9F">
        <w:rPr>
          <w:sz w:val="24"/>
          <w:szCs w:val="24"/>
        </w:rPr>
        <w:t xml:space="preserve">entral </w:t>
      </w:r>
      <w:r w:rsidR="004C7835">
        <w:rPr>
          <w:sz w:val="24"/>
          <w:szCs w:val="24"/>
        </w:rPr>
        <w:t>A</w:t>
      </w:r>
      <w:r w:rsidRPr="00EF5E9F">
        <w:rPr>
          <w:sz w:val="24"/>
          <w:szCs w:val="24"/>
        </w:rPr>
        <w:t>ccounting</w:t>
      </w:r>
      <w:r>
        <w:rPr>
          <w:sz w:val="24"/>
          <w:szCs w:val="24"/>
        </w:rPr>
        <w:t xml:space="preserve"> </w:t>
      </w:r>
      <w:r w:rsidR="004C7835">
        <w:rPr>
          <w:sz w:val="24"/>
          <w:szCs w:val="24"/>
        </w:rPr>
        <w:t>O</w:t>
      </w:r>
      <w:r>
        <w:rPr>
          <w:sz w:val="24"/>
          <w:szCs w:val="24"/>
        </w:rPr>
        <w:t xml:space="preserve">ffice staff.  </w:t>
      </w:r>
      <w:r w:rsidRPr="00EF5E9F">
        <w:rPr>
          <w:sz w:val="24"/>
          <w:szCs w:val="24"/>
        </w:rPr>
        <w:t>While we close</w:t>
      </w:r>
      <w:r>
        <w:rPr>
          <w:sz w:val="24"/>
          <w:szCs w:val="24"/>
        </w:rPr>
        <w:t>d</w:t>
      </w:r>
      <w:r w:rsidRPr="00C12637">
        <w:rPr>
          <w:sz w:val="24"/>
          <w:szCs w:val="24"/>
        </w:rPr>
        <w:t xml:space="preserve"> period 12 </w:t>
      </w:r>
      <w:r>
        <w:rPr>
          <w:sz w:val="24"/>
          <w:szCs w:val="24"/>
        </w:rPr>
        <w:t>for FY 2015-16</w:t>
      </w:r>
      <w:r w:rsidRPr="00C12637">
        <w:rPr>
          <w:sz w:val="24"/>
          <w:szCs w:val="24"/>
        </w:rPr>
        <w:t xml:space="preserve"> by </w:t>
      </w:r>
      <w:r>
        <w:rPr>
          <w:sz w:val="24"/>
          <w:szCs w:val="24"/>
        </w:rPr>
        <w:t>July 6, 2016</w:t>
      </w:r>
      <w:r w:rsidRPr="00EF5E9F">
        <w:rPr>
          <w:sz w:val="24"/>
          <w:szCs w:val="24"/>
        </w:rPr>
        <w:t xml:space="preserve">, we essentially use period 998 as an extended period 12 instead of adjusting our process to </w:t>
      </w:r>
      <w:r>
        <w:rPr>
          <w:sz w:val="24"/>
          <w:szCs w:val="24"/>
        </w:rPr>
        <w:t>“</w:t>
      </w:r>
      <w:r w:rsidRPr="00EF5E9F">
        <w:rPr>
          <w:sz w:val="24"/>
          <w:szCs w:val="24"/>
        </w:rPr>
        <w:t>hard close</w:t>
      </w:r>
      <w:r>
        <w:rPr>
          <w:sz w:val="24"/>
          <w:szCs w:val="24"/>
        </w:rPr>
        <w:t>”</w:t>
      </w:r>
      <w:r w:rsidRPr="00EF5E9F">
        <w:rPr>
          <w:sz w:val="24"/>
          <w:szCs w:val="24"/>
        </w:rPr>
        <w:t xml:space="preserve"> period 12 and reserve 998 for </w:t>
      </w:r>
      <w:r>
        <w:rPr>
          <w:sz w:val="24"/>
          <w:szCs w:val="24"/>
        </w:rPr>
        <w:t>“</w:t>
      </w:r>
      <w:r w:rsidRPr="00EF5E9F">
        <w:rPr>
          <w:sz w:val="24"/>
          <w:szCs w:val="24"/>
        </w:rPr>
        <w:t>post close</w:t>
      </w:r>
      <w:r>
        <w:rPr>
          <w:sz w:val="24"/>
          <w:szCs w:val="24"/>
        </w:rPr>
        <w:t>”</w:t>
      </w:r>
      <w:r w:rsidRPr="00EF5E9F">
        <w:rPr>
          <w:sz w:val="24"/>
          <w:szCs w:val="24"/>
        </w:rPr>
        <w:t xml:space="preserve"> audit entries.  </w:t>
      </w:r>
      <w:r>
        <w:rPr>
          <w:sz w:val="24"/>
          <w:szCs w:val="24"/>
        </w:rPr>
        <w:t>Some of the entries in Period 998 are accruals, which as mentioned above, the volume of these entries can be reduced by changing the accrual process.  S</w:t>
      </w:r>
      <w:r w:rsidRPr="00EF5E9F">
        <w:rPr>
          <w:sz w:val="24"/>
          <w:szCs w:val="24"/>
        </w:rPr>
        <w:t xml:space="preserve">ome of the entries should not be made at all </w:t>
      </w:r>
      <w:r>
        <w:rPr>
          <w:sz w:val="24"/>
          <w:szCs w:val="24"/>
        </w:rPr>
        <w:t>(Observation III.C</w:t>
      </w:r>
      <w:r w:rsidRPr="00EF5E9F">
        <w:rPr>
          <w:sz w:val="24"/>
          <w:szCs w:val="24"/>
        </w:rPr>
        <w:t xml:space="preserve"> </w:t>
      </w:r>
      <w:r>
        <w:rPr>
          <w:sz w:val="24"/>
          <w:szCs w:val="24"/>
        </w:rPr>
        <w:t xml:space="preserve">– </w:t>
      </w:r>
      <w:r w:rsidRPr="00EF5E9F">
        <w:rPr>
          <w:sz w:val="24"/>
          <w:szCs w:val="24"/>
        </w:rPr>
        <w:t xml:space="preserve">C&amp;G </w:t>
      </w:r>
      <w:r>
        <w:rPr>
          <w:sz w:val="24"/>
          <w:szCs w:val="24"/>
        </w:rPr>
        <w:t>Deficits</w:t>
      </w:r>
      <w:r w:rsidRPr="00EF5E9F">
        <w:rPr>
          <w:sz w:val="24"/>
          <w:szCs w:val="24"/>
        </w:rPr>
        <w:t xml:space="preserve">).   </w:t>
      </w:r>
    </w:p>
    <w:p w14:paraId="676B275A" w14:textId="77777777" w:rsidR="00E65A2B" w:rsidRDefault="00E65A2B" w:rsidP="00494DE8">
      <w:pPr>
        <w:ind w:left="1080"/>
        <w:rPr>
          <w:sz w:val="24"/>
          <w:szCs w:val="24"/>
        </w:rPr>
      </w:pPr>
    </w:p>
    <w:p w14:paraId="3283BB50" w14:textId="22888458" w:rsidR="00E65A2B" w:rsidRDefault="00E65A2B" w:rsidP="00494DE8">
      <w:pPr>
        <w:ind w:left="1080"/>
        <w:rPr>
          <w:sz w:val="24"/>
          <w:szCs w:val="24"/>
        </w:rPr>
      </w:pPr>
      <w:r w:rsidRPr="005B6486">
        <w:rPr>
          <w:b/>
          <w:sz w:val="24"/>
          <w:szCs w:val="24"/>
          <w:u w:val="single"/>
        </w:rPr>
        <w:t xml:space="preserve">Days to </w:t>
      </w:r>
      <w:r>
        <w:rPr>
          <w:b/>
          <w:sz w:val="24"/>
          <w:szCs w:val="24"/>
          <w:u w:val="single"/>
        </w:rPr>
        <w:t>C</w:t>
      </w:r>
      <w:r w:rsidRPr="005B6486">
        <w:rPr>
          <w:b/>
          <w:sz w:val="24"/>
          <w:szCs w:val="24"/>
          <w:u w:val="single"/>
        </w:rPr>
        <w:t>lose</w:t>
      </w:r>
      <w:r>
        <w:rPr>
          <w:sz w:val="24"/>
          <w:szCs w:val="24"/>
        </w:rPr>
        <w:t xml:space="preserve"> UCR closed its FY 2015-16 books on August 6, 2016 (36 days after the June 30 year-end).  We noted that some comparative universities close their books as follows: </w:t>
      </w:r>
    </w:p>
    <w:p w14:paraId="02B5B8B8" w14:textId="77777777" w:rsidR="00E65A2B" w:rsidRDefault="00E65A2B" w:rsidP="00886EE7">
      <w:pPr>
        <w:ind w:left="1140"/>
        <w:rPr>
          <w:sz w:val="24"/>
          <w:szCs w:val="24"/>
        </w:rPr>
      </w:pPr>
    </w:p>
    <w:p w14:paraId="107C175B" w14:textId="77777777" w:rsidR="00E65A2B" w:rsidRDefault="00E65A2B" w:rsidP="00886EE7">
      <w:pPr>
        <w:pStyle w:val="ListParagraph"/>
        <w:numPr>
          <w:ilvl w:val="0"/>
          <w:numId w:val="52"/>
        </w:numPr>
        <w:ind w:left="1860"/>
        <w:rPr>
          <w:sz w:val="24"/>
          <w:szCs w:val="24"/>
        </w:rPr>
      </w:pPr>
      <w:r w:rsidRPr="00F57DB3">
        <w:rPr>
          <w:sz w:val="24"/>
          <w:szCs w:val="24"/>
        </w:rPr>
        <w:t>The Ohio State University system in 19 days</w:t>
      </w:r>
      <w:r>
        <w:rPr>
          <w:rStyle w:val="FootnoteReference"/>
          <w:sz w:val="24"/>
          <w:szCs w:val="24"/>
        </w:rPr>
        <w:footnoteReference w:id="8"/>
      </w:r>
      <w:r w:rsidRPr="00F57DB3">
        <w:rPr>
          <w:sz w:val="24"/>
          <w:szCs w:val="24"/>
        </w:rPr>
        <w:t xml:space="preserve"> (exclusive of Period 998 which is only used for year-end audit adjustments), </w:t>
      </w:r>
    </w:p>
    <w:p w14:paraId="0398AD7F" w14:textId="77777777" w:rsidR="00E65A2B" w:rsidRDefault="00E65A2B" w:rsidP="00886EE7">
      <w:pPr>
        <w:pStyle w:val="ListParagraph"/>
        <w:numPr>
          <w:ilvl w:val="0"/>
          <w:numId w:val="52"/>
        </w:numPr>
        <w:ind w:left="1860"/>
        <w:rPr>
          <w:sz w:val="24"/>
          <w:szCs w:val="24"/>
        </w:rPr>
      </w:pPr>
      <w:r w:rsidRPr="00F57DB3">
        <w:rPr>
          <w:sz w:val="24"/>
          <w:szCs w:val="24"/>
        </w:rPr>
        <w:t>The University of Texas – Dallas in 17 days</w:t>
      </w:r>
      <w:r>
        <w:rPr>
          <w:rStyle w:val="FootnoteReference"/>
          <w:sz w:val="24"/>
          <w:szCs w:val="24"/>
        </w:rPr>
        <w:footnoteReference w:id="9"/>
      </w:r>
      <w:r w:rsidRPr="00F57DB3">
        <w:rPr>
          <w:sz w:val="24"/>
          <w:szCs w:val="24"/>
        </w:rPr>
        <w:t xml:space="preserve">.  </w:t>
      </w:r>
    </w:p>
    <w:p w14:paraId="1344846E" w14:textId="77777777" w:rsidR="00E65A2B" w:rsidRDefault="00E65A2B" w:rsidP="00886EE7">
      <w:pPr>
        <w:pStyle w:val="ListParagraph"/>
        <w:ind w:left="1860"/>
        <w:rPr>
          <w:sz w:val="24"/>
          <w:szCs w:val="24"/>
        </w:rPr>
      </w:pPr>
    </w:p>
    <w:p w14:paraId="469938A4" w14:textId="77777777" w:rsidR="00E65A2B" w:rsidRPr="00F57DB3" w:rsidRDefault="00E65A2B" w:rsidP="00494DE8">
      <w:pPr>
        <w:ind w:left="1080"/>
        <w:rPr>
          <w:sz w:val="24"/>
          <w:szCs w:val="24"/>
        </w:rPr>
      </w:pPr>
      <w:r>
        <w:rPr>
          <w:sz w:val="24"/>
          <w:szCs w:val="24"/>
        </w:rPr>
        <w:t>In addition to the items mentioned above, p</w:t>
      </w:r>
      <w:r w:rsidRPr="00F57DB3">
        <w:rPr>
          <w:sz w:val="24"/>
          <w:szCs w:val="24"/>
        </w:rPr>
        <w:t xml:space="preserve">erhaps contributing to </w:t>
      </w:r>
      <w:r>
        <w:rPr>
          <w:sz w:val="24"/>
          <w:szCs w:val="24"/>
        </w:rPr>
        <w:t xml:space="preserve">the </w:t>
      </w:r>
      <w:r w:rsidRPr="00F57DB3">
        <w:rPr>
          <w:sz w:val="24"/>
          <w:szCs w:val="24"/>
        </w:rPr>
        <w:t xml:space="preserve">work load during </w:t>
      </w:r>
      <w:r>
        <w:rPr>
          <w:sz w:val="24"/>
          <w:szCs w:val="24"/>
        </w:rPr>
        <w:t>the closing period</w:t>
      </w:r>
      <w:r w:rsidRPr="00F57DB3">
        <w:rPr>
          <w:sz w:val="24"/>
          <w:szCs w:val="24"/>
        </w:rPr>
        <w:t xml:space="preserve"> </w:t>
      </w:r>
      <w:r>
        <w:rPr>
          <w:sz w:val="24"/>
          <w:szCs w:val="24"/>
        </w:rPr>
        <w:t>are some</w:t>
      </w:r>
      <w:r w:rsidRPr="00F57DB3">
        <w:rPr>
          <w:sz w:val="24"/>
          <w:szCs w:val="24"/>
        </w:rPr>
        <w:t xml:space="preserve"> entries that that are immaterial</w:t>
      </w:r>
      <w:r>
        <w:rPr>
          <w:sz w:val="24"/>
          <w:szCs w:val="24"/>
        </w:rPr>
        <w:t>,</w:t>
      </w:r>
      <w:r w:rsidRPr="00F57DB3">
        <w:rPr>
          <w:sz w:val="24"/>
          <w:szCs w:val="24"/>
        </w:rPr>
        <w:t xml:space="preserve"> and perhaps could be </w:t>
      </w:r>
      <w:r>
        <w:rPr>
          <w:sz w:val="24"/>
          <w:szCs w:val="24"/>
        </w:rPr>
        <w:t>recorded in</w:t>
      </w:r>
      <w:r w:rsidRPr="00F57DB3">
        <w:rPr>
          <w:sz w:val="24"/>
          <w:szCs w:val="24"/>
        </w:rPr>
        <w:t xml:space="preserve"> the new fiscal year.  </w:t>
      </w:r>
    </w:p>
    <w:p w14:paraId="216150E6" w14:textId="77777777" w:rsidR="00F06C05" w:rsidRDefault="00F06C05" w:rsidP="00494DE8">
      <w:pPr>
        <w:pStyle w:val="NoSpacing"/>
        <w:tabs>
          <w:tab w:val="left" w:pos="1656"/>
        </w:tabs>
        <w:ind w:left="1080"/>
        <w:rPr>
          <w:bCs/>
          <w:sz w:val="24"/>
          <w:szCs w:val="24"/>
        </w:rPr>
      </w:pPr>
    </w:p>
    <w:p w14:paraId="47956885" w14:textId="496B3D5E" w:rsidR="00F06C05" w:rsidRDefault="00F06C05" w:rsidP="00494DE8">
      <w:pPr>
        <w:ind w:left="1080"/>
        <w:rPr>
          <w:b/>
          <w:sz w:val="24"/>
          <w:szCs w:val="24"/>
        </w:rPr>
      </w:pPr>
      <w:r w:rsidRPr="00F06C05">
        <w:rPr>
          <w:b/>
          <w:sz w:val="24"/>
          <w:szCs w:val="24"/>
        </w:rPr>
        <w:t>Management Response–</w:t>
      </w:r>
      <w:r w:rsidR="00C60380">
        <w:rPr>
          <w:b/>
          <w:sz w:val="24"/>
          <w:szCs w:val="24"/>
        </w:rPr>
        <w:t xml:space="preserve">Business Financial Services - </w:t>
      </w:r>
      <w:r w:rsidRPr="00F06C05">
        <w:rPr>
          <w:b/>
          <w:sz w:val="24"/>
          <w:szCs w:val="24"/>
        </w:rPr>
        <w:t xml:space="preserve"> </w:t>
      </w:r>
      <w:r w:rsidR="006F4A8A">
        <w:rPr>
          <w:sz w:val="24"/>
          <w:szCs w:val="24"/>
        </w:rPr>
        <w:t>U</w:t>
      </w:r>
      <w:r w:rsidR="006F4A8A" w:rsidRPr="00C60380">
        <w:rPr>
          <w:sz w:val="24"/>
          <w:szCs w:val="24"/>
        </w:rPr>
        <w:t>CR closes its books and submits the required files to UC Office of the President per their timeline for the consolidated UC financial statements.   Audit adjustments made after the June final submission are recorded in the UC Corporate Financial Reporting System using the FJE application.</w:t>
      </w:r>
      <w:r w:rsidR="006F4A8A">
        <w:rPr>
          <w:b/>
          <w:sz w:val="24"/>
          <w:szCs w:val="24"/>
        </w:rPr>
        <w:t xml:space="preserve">   </w:t>
      </w:r>
    </w:p>
    <w:p w14:paraId="7C46B751" w14:textId="592CA922" w:rsidR="001101F9" w:rsidRDefault="00205B9A" w:rsidP="00494DE8">
      <w:pPr>
        <w:pStyle w:val="NoSpacing"/>
        <w:tabs>
          <w:tab w:val="left" w:pos="1656"/>
        </w:tabs>
        <w:ind w:left="1080"/>
        <w:rPr>
          <w:sz w:val="24"/>
          <w:szCs w:val="24"/>
        </w:rPr>
      </w:pPr>
      <w:r w:rsidRPr="0012062A">
        <w:rPr>
          <w:bCs/>
          <w:sz w:val="24"/>
          <w:szCs w:val="24"/>
        </w:rPr>
        <w:tab/>
      </w:r>
    </w:p>
    <w:p w14:paraId="243A4B6A" w14:textId="77777777" w:rsidR="00E65A2B" w:rsidRDefault="00E65A2B" w:rsidP="00494DE8">
      <w:pPr>
        <w:pStyle w:val="NoSpacing"/>
        <w:ind w:left="1080"/>
        <w:rPr>
          <w:sz w:val="24"/>
          <w:szCs w:val="24"/>
        </w:rPr>
      </w:pPr>
    </w:p>
    <w:p w14:paraId="3BEE7097" w14:textId="13F61158" w:rsidR="008475B4" w:rsidRDefault="008475B4" w:rsidP="000679CB">
      <w:pPr>
        <w:pStyle w:val="NoSpacing"/>
        <w:ind w:left="720"/>
        <w:rPr>
          <w:b/>
          <w:sz w:val="24"/>
          <w:szCs w:val="24"/>
          <w:u w:val="single"/>
        </w:rPr>
      </w:pPr>
      <w:r w:rsidRPr="00886EE7">
        <w:rPr>
          <w:b/>
          <w:sz w:val="24"/>
          <w:szCs w:val="24"/>
        </w:rPr>
        <w:t>E</w:t>
      </w:r>
      <w:r w:rsidR="007E50CD">
        <w:rPr>
          <w:sz w:val="24"/>
          <w:szCs w:val="24"/>
        </w:rPr>
        <w:t xml:space="preserve">.   </w:t>
      </w:r>
      <w:r>
        <w:rPr>
          <w:b/>
          <w:sz w:val="24"/>
          <w:szCs w:val="24"/>
          <w:u w:val="single"/>
        </w:rPr>
        <w:t>Payroll Cost Transfers</w:t>
      </w:r>
    </w:p>
    <w:p w14:paraId="37265871" w14:textId="77777777" w:rsidR="008475B4" w:rsidRDefault="008475B4" w:rsidP="000679CB">
      <w:pPr>
        <w:pStyle w:val="NoSpacing"/>
        <w:ind w:left="720"/>
        <w:rPr>
          <w:b/>
          <w:sz w:val="24"/>
          <w:szCs w:val="24"/>
          <w:u w:val="single"/>
        </w:rPr>
      </w:pPr>
    </w:p>
    <w:p w14:paraId="5383A3A4" w14:textId="42C80655" w:rsidR="008475B4" w:rsidRDefault="005D6FD9" w:rsidP="00EF5E9F">
      <w:pPr>
        <w:pStyle w:val="NoSpacing"/>
        <w:overflowPunct/>
        <w:autoSpaceDE/>
        <w:autoSpaceDN/>
        <w:adjustRightInd/>
        <w:ind w:left="1080"/>
        <w:textAlignment w:val="auto"/>
        <w:rPr>
          <w:sz w:val="24"/>
          <w:szCs w:val="24"/>
        </w:rPr>
      </w:pPr>
      <w:r>
        <w:rPr>
          <w:sz w:val="24"/>
          <w:szCs w:val="24"/>
        </w:rPr>
        <w:t>P</w:t>
      </w:r>
      <w:r w:rsidR="008475B4">
        <w:rPr>
          <w:sz w:val="24"/>
          <w:szCs w:val="24"/>
        </w:rPr>
        <w:t xml:space="preserve">ayroll </w:t>
      </w:r>
      <w:r w:rsidR="008475B4" w:rsidRPr="00EF5E9F">
        <w:rPr>
          <w:sz w:val="24"/>
          <w:szCs w:val="24"/>
        </w:rPr>
        <w:t>Cost Transfers</w:t>
      </w:r>
      <w:r>
        <w:rPr>
          <w:sz w:val="24"/>
          <w:szCs w:val="24"/>
        </w:rPr>
        <w:t xml:space="preserve"> (PCT)</w:t>
      </w:r>
      <w:r w:rsidR="008475B4" w:rsidRPr="00EF5E9F">
        <w:rPr>
          <w:sz w:val="24"/>
          <w:szCs w:val="24"/>
        </w:rPr>
        <w:t xml:space="preserve"> </w:t>
      </w:r>
      <w:r>
        <w:rPr>
          <w:sz w:val="24"/>
          <w:szCs w:val="24"/>
        </w:rPr>
        <w:t>comprise</w:t>
      </w:r>
      <w:r w:rsidR="008475B4">
        <w:rPr>
          <w:sz w:val="24"/>
          <w:szCs w:val="24"/>
        </w:rPr>
        <w:t xml:space="preserve"> 5</w:t>
      </w:r>
      <w:r w:rsidR="008475B4" w:rsidRPr="00EF5E9F">
        <w:rPr>
          <w:sz w:val="24"/>
          <w:szCs w:val="24"/>
        </w:rPr>
        <w:t>% of total payroll volume</w:t>
      </w:r>
      <w:r w:rsidR="008475B4">
        <w:rPr>
          <w:sz w:val="24"/>
          <w:szCs w:val="24"/>
        </w:rPr>
        <w:t xml:space="preserve"> (same as </w:t>
      </w:r>
      <w:r w:rsidR="00A10D76">
        <w:rPr>
          <w:sz w:val="24"/>
          <w:szCs w:val="24"/>
        </w:rPr>
        <w:t>prior FY</w:t>
      </w:r>
      <w:r w:rsidR="008475B4">
        <w:rPr>
          <w:sz w:val="24"/>
          <w:szCs w:val="24"/>
        </w:rPr>
        <w:t>)</w:t>
      </w:r>
      <w:r w:rsidR="008475B4" w:rsidRPr="00EF5E9F">
        <w:rPr>
          <w:sz w:val="24"/>
          <w:szCs w:val="24"/>
        </w:rPr>
        <w:t xml:space="preserve">. </w:t>
      </w:r>
      <w:r w:rsidR="00A10D76">
        <w:rPr>
          <w:sz w:val="24"/>
          <w:szCs w:val="24"/>
        </w:rPr>
        <w:t>Some note-worthy o</w:t>
      </w:r>
      <w:r w:rsidR="008475B4" w:rsidRPr="00EF5E9F">
        <w:rPr>
          <w:sz w:val="24"/>
          <w:szCs w:val="24"/>
        </w:rPr>
        <w:t>bservations</w:t>
      </w:r>
      <w:r w:rsidR="00A10D76">
        <w:rPr>
          <w:sz w:val="24"/>
          <w:szCs w:val="24"/>
        </w:rPr>
        <w:t xml:space="preserve"> include</w:t>
      </w:r>
      <w:r w:rsidR="008475B4" w:rsidRPr="00EF5E9F">
        <w:rPr>
          <w:sz w:val="24"/>
          <w:szCs w:val="24"/>
        </w:rPr>
        <w:t xml:space="preserve">: </w:t>
      </w:r>
    </w:p>
    <w:p w14:paraId="657A8835" w14:textId="77777777" w:rsidR="00833B96" w:rsidRPr="00EF5E9F" w:rsidRDefault="00833B96" w:rsidP="00EF5E9F">
      <w:pPr>
        <w:pStyle w:val="NoSpacing"/>
        <w:overflowPunct/>
        <w:autoSpaceDE/>
        <w:autoSpaceDN/>
        <w:adjustRightInd/>
        <w:ind w:left="1080"/>
        <w:textAlignment w:val="auto"/>
        <w:rPr>
          <w:sz w:val="24"/>
          <w:szCs w:val="24"/>
        </w:rPr>
      </w:pPr>
    </w:p>
    <w:p w14:paraId="7C29BB0B" w14:textId="7EEF850A" w:rsidR="008475B4" w:rsidRPr="00EF5E9F" w:rsidRDefault="00A10D76" w:rsidP="00EF5E9F">
      <w:pPr>
        <w:pStyle w:val="NoSpacing"/>
        <w:numPr>
          <w:ilvl w:val="0"/>
          <w:numId w:val="46"/>
        </w:numPr>
        <w:overflowPunct/>
        <w:autoSpaceDE/>
        <w:autoSpaceDN/>
        <w:adjustRightInd/>
        <w:ind w:left="1800"/>
        <w:textAlignment w:val="auto"/>
        <w:rPr>
          <w:sz w:val="24"/>
          <w:szCs w:val="24"/>
        </w:rPr>
      </w:pPr>
      <w:r>
        <w:rPr>
          <w:sz w:val="24"/>
          <w:szCs w:val="24"/>
        </w:rPr>
        <w:t xml:space="preserve">Although </w:t>
      </w:r>
      <w:r w:rsidR="008475B4" w:rsidRPr="00EF5E9F">
        <w:rPr>
          <w:sz w:val="24"/>
          <w:szCs w:val="24"/>
        </w:rPr>
        <w:t>SOM</w:t>
      </w:r>
      <w:r>
        <w:rPr>
          <w:sz w:val="24"/>
          <w:szCs w:val="24"/>
        </w:rPr>
        <w:t xml:space="preserve"> PCTs decreased compared to the prior F</w:t>
      </w:r>
      <w:r w:rsidR="008475B4">
        <w:rPr>
          <w:sz w:val="24"/>
          <w:szCs w:val="24"/>
        </w:rPr>
        <w:t>Y</w:t>
      </w:r>
      <w:r w:rsidR="008475B4" w:rsidRPr="00EF5E9F">
        <w:rPr>
          <w:sz w:val="24"/>
          <w:szCs w:val="24"/>
        </w:rPr>
        <w:t xml:space="preserve">, </w:t>
      </w:r>
      <w:r>
        <w:rPr>
          <w:sz w:val="24"/>
          <w:szCs w:val="24"/>
        </w:rPr>
        <w:t xml:space="preserve">the PCT transactions and amounts are </w:t>
      </w:r>
      <w:r w:rsidR="008475B4" w:rsidRPr="00EF5E9F">
        <w:rPr>
          <w:sz w:val="24"/>
          <w:szCs w:val="24"/>
        </w:rPr>
        <w:t xml:space="preserve">still </w:t>
      </w:r>
      <w:r w:rsidR="00151DE8">
        <w:rPr>
          <w:sz w:val="24"/>
          <w:szCs w:val="24"/>
        </w:rPr>
        <w:t xml:space="preserve">considered </w:t>
      </w:r>
      <w:r w:rsidR="008475B4" w:rsidRPr="00EF5E9F">
        <w:rPr>
          <w:sz w:val="24"/>
          <w:szCs w:val="24"/>
        </w:rPr>
        <w:t xml:space="preserve">high.  </w:t>
      </w:r>
    </w:p>
    <w:p w14:paraId="67F9877C" w14:textId="74DC6732" w:rsidR="008475B4" w:rsidRPr="00EF5E9F" w:rsidRDefault="00A10D76" w:rsidP="00EF5E9F">
      <w:pPr>
        <w:pStyle w:val="NoSpacing"/>
        <w:numPr>
          <w:ilvl w:val="0"/>
          <w:numId w:val="46"/>
        </w:numPr>
        <w:overflowPunct/>
        <w:autoSpaceDE/>
        <w:autoSpaceDN/>
        <w:adjustRightInd/>
        <w:ind w:left="1800"/>
        <w:textAlignment w:val="auto"/>
        <w:rPr>
          <w:sz w:val="24"/>
          <w:szCs w:val="24"/>
        </w:rPr>
      </w:pPr>
      <w:r>
        <w:rPr>
          <w:sz w:val="24"/>
          <w:szCs w:val="24"/>
        </w:rPr>
        <w:t>PCTs for Cooperative Extension (CE)</w:t>
      </w:r>
      <w:r w:rsidR="008475B4" w:rsidRPr="00EF5E9F">
        <w:rPr>
          <w:sz w:val="24"/>
          <w:szCs w:val="24"/>
        </w:rPr>
        <w:t>-CNAS, UC</w:t>
      </w:r>
      <w:r>
        <w:rPr>
          <w:sz w:val="24"/>
          <w:szCs w:val="24"/>
        </w:rPr>
        <w:t xml:space="preserve"> Institute for </w:t>
      </w:r>
      <w:r w:rsidR="008475B4" w:rsidRPr="00EF5E9F">
        <w:rPr>
          <w:sz w:val="24"/>
          <w:szCs w:val="24"/>
        </w:rPr>
        <w:t>M</w:t>
      </w:r>
      <w:r>
        <w:rPr>
          <w:sz w:val="24"/>
          <w:szCs w:val="24"/>
        </w:rPr>
        <w:t>exico and the United States (UC M</w:t>
      </w:r>
      <w:r w:rsidR="008475B4" w:rsidRPr="00EF5E9F">
        <w:rPr>
          <w:sz w:val="24"/>
          <w:szCs w:val="24"/>
        </w:rPr>
        <w:t>EXUS</w:t>
      </w:r>
      <w:r>
        <w:rPr>
          <w:sz w:val="24"/>
          <w:szCs w:val="24"/>
        </w:rPr>
        <w:t>)</w:t>
      </w:r>
      <w:r w:rsidR="008475B4" w:rsidRPr="00EF5E9F">
        <w:rPr>
          <w:sz w:val="24"/>
          <w:szCs w:val="24"/>
        </w:rPr>
        <w:t>, Athletics</w:t>
      </w:r>
      <w:r w:rsidR="008475B4">
        <w:rPr>
          <w:sz w:val="24"/>
          <w:szCs w:val="24"/>
        </w:rPr>
        <w:t xml:space="preserve"> and V</w:t>
      </w:r>
      <w:r>
        <w:rPr>
          <w:sz w:val="24"/>
          <w:szCs w:val="24"/>
        </w:rPr>
        <w:t xml:space="preserve">ice </w:t>
      </w:r>
      <w:r w:rsidR="008475B4">
        <w:rPr>
          <w:sz w:val="24"/>
          <w:szCs w:val="24"/>
        </w:rPr>
        <w:t>C</w:t>
      </w:r>
      <w:r>
        <w:rPr>
          <w:sz w:val="24"/>
          <w:szCs w:val="24"/>
        </w:rPr>
        <w:t>hancellor University Advancement (VC</w:t>
      </w:r>
      <w:r w:rsidR="008475B4">
        <w:rPr>
          <w:sz w:val="24"/>
          <w:szCs w:val="24"/>
        </w:rPr>
        <w:t>UA</w:t>
      </w:r>
      <w:r>
        <w:rPr>
          <w:sz w:val="24"/>
          <w:szCs w:val="24"/>
        </w:rPr>
        <w:t>)</w:t>
      </w:r>
      <w:r w:rsidR="008475B4" w:rsidRPr="00EF5E9F">
        <w:rPr>
          <w:sz w:val="24"/>
          <w:szCs w:val="24"/>
        </w:rPr>
        <w:t xml:space="preserve"> </w:t>
      </w:r>
      <w:r>
        <w:rPr>
          <w:sz w:val="24"/>
          <w:szCs w:val="24"/>
        </w:rPr>
        <w:t xml:space="preserve">have significantly increased this year compared to the prior FY.  </w:t>
      </w:r>
    </w:p>
    <w:p w14:paraId="0C50A7AA" w14:textId="77777777" w:rsidR="00833B96" w:rsidRDefault="00833B96" w:rsidP="00EF5E9F">
      <w:pPr>
        <w:pStyle w:val="NoSpacing"/>
        <w:tabs>
          <w:tab w:val="left" w:pos="1440"/>
        </w:tabs>
        <w:ind w:left="1080"/>
        <w:rPr>
          <w:sz w:val="24"/>
          <w:szCs w:val="24"/>
        </w:rPr>
      </w:pPr>
    </w:p>
    <w:p w14:paraId="446DC81F" w14:textId="7F73A82E" w:rsidR="00833B96" w:rsidRDefault="00A10D76" w:rsidP="00EF5E9F">
      <w:pPr>
        <w:pStyle w:val="NoSpacing"/>
        <w:tabs>
          <w:tab w:val="left" w:pos="1440"/>
        </w:tabs>
        <w:ind w:left="1080"/>
        <w:rPr>
          <w:sz w:val="24"/>
          <w:szCs w:val="24"/>
        </w:rPr>
      </w:pPr>
      <w:r>
        <w:rPr>
          <w:sz w:val="24"/>
          <w:szCs w:val="24"/>
        </w:rPr>
        <w:t>T</w:t>
      </w:r>
      <w:r w:rsidR="008475B4" w:rsidRPr="00EF5E9F">
        <w:rPr>
          <w:sz w:val="24"/>
          <w:szCs w:val="24"/>
        </w:rPr>
        <w:t xml:space="preserve">he four Shared Service Centers should consider </w:t>
      </w:r>
      <w:r>
        <w:rPr>
          <w:sz w:val="24"/>
          <w:szCs w:val="24"/>
        </w:rPr>
        <w:t xml:space="preserve">these observations </w:t>
      </w:r>
      <w:r w:rsidR="00501733">
        <w:rPr>
          <w:sz w:val="24"/>
          <w:szCs w:val="24"/>
        </w:rPr>
        <w:t>with respect to their</w:t>
      </w:r>
      <w:r w:rsidR="008475B4" w:rsidRPr="00EF5E9F">
        <w:rPr>
          <w:sz w:val="24"/>
          <w:szCs w:val="24"/>
        </w:rPr>
        <w:t xml:space="preserve"> </w:t>
      </w:r>
      <w:r w:rsidR="00501733">
        <w:rPr>
          <w:sz w:val="24"/>
          <w:szCs w:val="24"/>
        </w:rPr>
        <w:t>c</w:t>
      </w:r>
      <w:r w:rsidR="008475B4" w:rsidRPr="00EF5E9F">
        <w:rPr>
          <w:sz w:val="24"/>
          <w:szCs w:val="24"/>
        </w:rPr>
        <w:t xml:space="preserve">lients </w:t>
      </w:r>
      <w:r>
        <w:rPr>
          <w:sz w:val="24"/>
          <w:szCs w:val="24"/>
        </w:rPr>
        <w:t xml:space="preserve">(departments/units) due to the </w:t>
      </w:r>
      <w:r w:rsidR="008475B4" w:rsidRPr="00EF5E9F">
        <w:rPr>
          <w:sz w:val="24"/>
          <w:szCs w:val="24"/>
        </w:rPr>
        <w:t>large volume of work</w:t>
      </w:r>
      <w:r>
        <w:rPr>
          <w:sz w:val="24"/>
          <w:szCs w:val="24"/>
        </w:rPr>
        <w:t xml:space="preserve"> involved with</w:t>
      </w:r>
      <w:r w:rsidR="008475B4" w:rsidRPr="00EF5E9F">
        <w:rPr>
          <w:sz w:val="24"/>
          <w:szCs w:val="24"/>
        </w:rPr>
        <w:t xml:space="preserve"> C&amp;G</w:t>
      </w:r>
      <w:r>
        <w:rPr>
          <w:sz w:val="24"/>
          <w:szCs w:val="24"/>
        </w:rPr>
        <w:t>-</w:t>
      </w:r>
      <w:r w:rsidR="008475B4" w:rsidRPr="00EF5E9F">
        <w:rPr>
          <w:sz w:val="24"/>
          <w:szCs w:val="24"/>
        </w:rPr>
        <w:t xml:space="preserve">related regulations and </w:t>
      </w:r>
      <w:r w:rsidR="00501733">
        <w:rPr>
          <w:sz w:val="24"/>
          <w:szCs w:val="24"/>
        </w:rPr>
        <w:t xml:space="preserve">associated </w:t>
      </w:r>
      <w:r w:rsidR="008475B4" w:rsidRPr="00EF5E9F">
        <w:rPr>
          <w:sz w:val="24"/>
          <w:szCs w:val="24"/>
        </w:rPr>
        <w:t xml:space="preserve">risks.  </w:t>
      </w:r>
    </w:p>
    <w:p w14:paraId="057FBEBB" w14:textId="77777777" w:rsidR="00833B96" w:rsidRDefault="00833B96" w:rsidP="00EF5E9F">
      <w:pPr>
        <w:pStyle w:val="NoSpacing"/>
        <w:tabs>
          <w:tab w:val="left" w:pos="1440"/>
        </w:tabs>
        <w:ind w:left="1080"/>
        <w:rPr>
          <w:sz w:val="24"/>
          <w:szCs w:val="24"/>
        </w:rPr>
      </w:pPr>
    </w:p>
    <w:p w14:paraId="24F367F1" w14:textId="77EFF9FF" w:rsidR="00833B96" w:rsidRDefault="00833B96" w:rsidP="00EF5E9F">
      <w:pPr>
        <w:pStyle w:val="NoSpacing"/>
        <w:tabs>
          <w:tab w:val="left" w:pos="1440"/>
        </w:tabs>
        <w:ind w:left="1080"/>
        <w:rPr>
          <w:sz w:val="24"/>
          <w:szCs w:val="24"/>
        </w:rPr>
      </w:pPr>
      <w:r>
        <w:rPr>
          <w:sz w:val="24"/>
          <w:szCs w:val="24"/>
        </w:rPr>
        <w:t>Expense transfers</w:t>
      </w:r>
      <w:r w:rsidR="00A10D76">
        <w:rPr>
          <w:sz w:val="24"/>
          <w:szCs w:val="24"/>
        </w:rPr>
        <w:t>,</w:t>
      </w:r>
      <w:r>
        <w:rPr>
          <w:sz w:val="24"/>
          <w:szCs w:val="24"/>
        </w:rPr>
        <w:t xml:space="preserve"> if pertaining to Contracts &amp; Grants are an area of high risk and scrutiny by outside agencies.  Exceptions in this area can </w:t>
      </w:r>
      <w:r w:rsidR="00A10D76">
        <w:rPr>
          <w:sz w:val="24"/>
          <w:szCs w:val="24"/>
        </w:rPr>
        <w:t xml:space="preserve">place </w:t>
      </w:r>
      <w:r>
        <w:rPr>
          <w:sz w:val="24"/>
          <w:szCs w:val="24"/>
        </w:rPr>
        <w:t>the university at risk of disallowed expenditures, penalties and fines and debarment</w:t>
      </w:r>
      <w:r w:rsidR="005A7E04">
        <w:rPr>
          <w:sz w:val="24"/>
          <w:szCs w:val="24"/>
        </w:rPr>
        <w:t xml:space="preserve"> in extreme cases</w:t>
      </w:r>
      <w:r>
        <w:rPr>
          <w:sz w:val="24"/>
          <w:szCs w:val="24"/>
        </w:rPr>
        <w:t xml:space="preserve">.  </w:t>
      </w:r>
    </w:p>
    <w:p w14:paraId="03E36EF1" w14:textId="77777777" w:rsidR="003D03CF" w:rsidRPr="00B5215A" w:rsidRDefault="003D03CF" w:rsidP="00EF5E9F">
      <w:pPr>
        <w:pStyle w:val="NoSpacing"/>
        <w:tabs>
          <w:tab w:val="left" w:pos="1440"/>
        </w:tabs>
        <w:ind w:left="1080"/>
        <w:rPr>
          <w:i/>
          <w:sz w:val="18"/>
          <w:szCs w:val="18"/>
        </w:rPr>
      </w:pPr>
    </w:p>
    <w:p w14:paraId="5C18A8A3" w14:textId="099EB919" w:rsidR="008475B4" w:rsidRDefault="00FF05EA" w:rsidP="00EF5E9F">
      <w:pPr>
        <w:pStyle w:val="NoSpacing"/>
        <w:ind w:left="1080"/>
      </w:pPr>
      <w:r w:rsidRPr="00FF05EA">
        <w:rPr>
          <w:noProof/>
        </w:rPr>
        <w:t xml:space="preserve"> </w:t>
      </w:r>
      <w:r w:rsidRPr="00FF05EA">
        <w:rPr>
          <w:noProof/>
        </w:rPr>
        <w:drawing>
          <wp:inline distT="0" distB="0" distL="0" distR="0" wp14:anchorId="124E8C9E" wp14:editId="4AE9019D">
            <wp:extent cx="5092849" cy="401244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97957" cy="4016467"/>
                    </a:xfrm>
                    <a:prstGeom prst="rect">
                      <a:avLst/>
                    </a:prstGeom>
                  </pic:spPr>
                </pic:pic>
              </a:graphicData>
            </a:graphic>
          </wp:inline>
        </w:drawing>
      </w:r>
    </w:p>
    <w:p w14:paraId="7D3C2732" w14:textId="0313B8F6" w:rsidR="00866321" w:rsidRDefault="00866321" w:rsidP="009229EA">
      <w:pPr>
        <w:pStyle w:val="NoSpacing"/>
        <w:ind w:left="1440"/>
        <w:rPr>
          <w:i/>
          <w:sz w:val="18"/>
          <w:szCs w:val="18"/>
        </w:rPr>
      </w:pPr>
    </w:p>
    <w:p w14:paraId="7D81717F" w14:textId="7E137F87" w:rsidR="00F06C05" w:rsidRPr="00F06C05" w:rsidRDefault="00F06C05" w:rsidP="00124E34">
      <w:pPr>
        <w:ind w:left="1080"/>
        <w:rPr>
          <w:b/>
          <w:sz w:val="24"/>
          <w:szCs w:val="24"/>
        </w:rPr>
      </w:pPr>
      <w:r w:rsidRPr="00F06C05">
        <w:rPr>
          <w:b/>
          <w:sz w:val="24"/>
          <w:szCs w:val="24"/>
        </w:rPr>
        <w:t xml:space="preserve">Management Response/Corrective Action – </w:t>
      </w:r>
      <w:r w:rsidR="00124E34">
        <w:rPr>
          <w:b/>
          <w:sz w:val="24"/>
          <w:szCs w:val="24"/>
        </w:rPr>
        <w:t>SSCs</w:t>
      </w:r>
    </w:p>
    <w:p w14:paraId="23B4D40A" w14:textId="77777777" w:rsidR="00124E34" w:rsidRDefault="00124E34" w:rsidP="00124E34">
      <w:pPr>
        <w:rPr>
          <w:rFonts w:ascii="Arial" w:hAnsi="Arial" w:cs="Arial"/>
          <w:b/>
          <w:bCs/>
        </w:rPr>
      </w:pPr>
    </w:p>
    <w:p w14:paraId="62D5A558" w14:textId="2DADB27A" w:rsidR="00124E34" w:rsidRPr="00124E34" w:rsidRDefault="00124E34" w:rsidP="00124E34">
      <w:pPr>
        <w:ind w:left="1080"/>
        <w:rPr>
          <w:sz w:val="24"/>
          <w:szCs w:val="24"/>
        </w:rPr>
      </w:pPr>
      <w:r w:rsidRPr="00124E34">
        <w:rPr>
          <w:sz w:val="24"/>
          <w:szCs w:val="24"/>
        </w:rPr>
        <w:t xml:space="preserve">The following is a combined response from the 4 SSCs, regarding the increased volume of salary cost transfers on the campus. The summary also reflects the feedback received from our clients. </w:t>
      </w:r>
    </w:p>
    <w:p w14:paraId="2B7AAB72" w14:textId="77777777" w:rsidR="00124E34" w:rsidRDefault="00124E34" w:rsidP="00124E34">
      <w:pPr>
        <w:ind w:left="1080"/>
        <w:rPr>
          <w:b/>
          <w:bCs/>
          <w:sz w:val="24"/>
          <w:szCs w:val="24"/>
        </w:rPr>
      </w:pPr>
    </w:p>
    <w:p w14:paraId="2862BB08" w14:textId="4DCB5703" w:rsidR="00124E34" w:rsidRDefault="00124E34" w:rsidP="0075768E">
      <w:pPr>
        <w:ind w:left="1440"/>
        <w:rPr>
          <w:b/>
          <w:bCs/>
          <w:sz w:val="24"/>
          <w:szCs w:val="24"/>
        </w:rPr>
      </w:pPr>
      <w:r w:rsidRPr="00124E34">
        <w:rPr>
          <w:b/>
          <w:bCs/>
          <w:sz w:val="24"/>
          <w:szCs w:val="24"/>
        </w:rPr>
        <w:t>Historical Factors (FY 15-17)  </w:t>
      </w:r>
    </w:p>
    <w:p w14:paraId="0CD5F9EA" w14:textId="77777777" w:rsidR="0075768E" w:rsidRPr="00124E34" w:rsidRDefault="0075768E" w:rsidP="0075768E">
      <w:pPr>
        <w:ind w:left="1440"/>
        <w:rPr>
          <w:sz w:val="24"/>
          <w:szCs w:val="24"/>
        </w:rPr>
      </w:pPr>
    </w:p>
    <w:p w14:paraId="6EADF00E" w14:textId="164B2D3F" w:rsidR="00124E34" w:rsidRPr="00124E34" w:rsidRDefault="00124E34" w:rsidP="0075768E">
      <w:pPr>
        <w:pStyle w:val="ListParagraph"/>
        <w:numPr>
          <w:ilvl w:val="0"/>
          <w:numId w:val="53"/>
        </w:numPr>
        <w:overflowPunct/>
        <w:autoSpaceDE/>
        <w:autoSpaceDN/>
        <w:adjustRightInd/>
        <w:ind w:left="2160"/>
        <w:textAlignment w:val="auto"/>
        <w:rPr>
          <w:sz w:val="24"/>
          <w:szCs w:val="24"/>
        </w:rPr>
      </w:pPr>
      <w:r w:rsidRPr="00124E34">
        <w:rPr>
          <w:sz w:val="24"/>
          <w:szCs w:val="24"/>
        </w:rPr>
        <w:t>Normal operations by departments and PIs (correct errors and as a result of more thorough payroll reviews)</w:t>
      </w:r>
      <w:r w:rsidR="0075768E">
        <w:rPr>
          <w:sz w:val="24"/>
          <w:szCs w:val="24"/>
        </w:rPr>
        <w:t>.</w:t>
      </w:r>
    </w:p>
    <w:p w14:paraId="21DF343C" w14:textId="2310F942" w:rsidR="00124E34" w:rsidRPr="00124E34" w:rsidRDefault="00124E34" w:rsidP="0075768E">
      <w:pPr>
        <w:pStyle w:val="ListParagraph"/>
        <w:numPr>
          <w:ilvl w:val="0"/>
          <w:numId w:val="53"/>
        </w:numPr>
        <w:overflowPunct/>
        <w:autoSpaceDE/>
        <w:autoSpaceDN/>
        <w:adjustRightInd/>
        <w:ind w:left="2160"/>
        <w:textAlignment w:val="auto"/>
        <w:rPr>
          <w:sz w:val="24"/>
          <w:szCs w:val="24"/>
        </w:rPr>
      </w:pPr>
      <w:r w:rsidRPr="00124E34">
        <w:rPr>
          <w:sz w:val="24"/>
          <w:szCs w:val="24"/>
        </w:rPr>
        <w:t>Changes in fund sources from sponsors (such as UCOP) which are outside the control of departments/org</w:t>
      </w:r>
      <w:r w:rsidR="004C7835">
        <w:rPr>
          <w:sz w:val="24"/>
          <w:szCs w:val="24"/>
        </w:rPr>
        <w:t>anization</w:t>
      </w:r>
      <w:r w:rsidRPr="00124E34">
        <w:rPr>
          <w:sz w:val="24"/>
          <w:szCs w:val="24"/>
        </w:rPr>
        <w:t>s and therefore SSCs</w:t>
      </w:r>
      <w:r w:rsidR="0075768E">
        <w:rPr>
          <w:sz w:val="24"/>
          <w:szCs w:val="24"/>
        </w:rPr>
        <w:t>.</w:t>
      </w:r>
    </w:p>
    <w:p w14:paraId="0AE3B20C" w14:textId="164FDA8C" w:rsidR="00124E34" w:rsidRPr="00124E34" w:rsidRDefault="00124E34" w:rsidP="0075768E">
      <w:pPr>
        <w:pStyle w:val="ListParagraph"/>
        <w:numPr>
          <w:ilvl w:val="0"/>
          <w:numId w:val="53"/>
        </w:numPr>
        <w:overflowPunct/>
        <w:autoSpaceDE/>
        <w:autoSpaceDN/>
        <w:adjustRightInd/>
        <w:ind w:left="2160"/>
        <w:textAlignment w:val="auto"/>
        <w:rPr>
          <w:sz w:val="24"/>
          <w:szCs w:val="24"/>
        </w:rPr>
      </w:pPr>
      <w:r w:rsidRPr="00124E34">
        <w:rPr>
          <w:sz w:val="24"/>
          <w:szCs w:val="24"/>
        </w:rPr>
        <w:t>Awards allocated well after the 120</w:t>
      </w:r>
      <w:r>
        <w:rPr>
          <w:sz w:val="24"/>
          <w:szCs w:val="24"/>
        </w:rPr>
        <w:t>-</w:t>
      </w:r>
      <w:r w:rsidRPr="00124E34">
        <w:rPr>
          <w:sz w:val="24"/>
          <w:szCs w:val="24"/>
        </w:rPr>
        <w:t xml:space="preserve">day rule. </w:t>
      </w:r>
      <w:r>
        <w:rPr>
          <w:sz w:val="24"/>
          <w:szCs w:val="24"/>
        </w:rPr>
        <w:t xml:space="preserve"> </w:t>
      </w:r>
      <w:r w:rsidRPr="00124E34">
        <w:rPr>
          <w:sz w:val="24"/>
          <w:szCs w:val="24"/>
        </w:rPr>
        <w:t xml:space="preserve">Unfortunately, pre-award </w:t>
      </w:r>
      <w:r w:rsidR="0075768E">
        <w:rPr>
          <w:sz w:val="24"/>
          <w:szCs w:val="24"/>
        </w:rPr>
        <w:t>delays</w:t>
      </w:r>
      <w:r w:rsidRPr="00124E34">
        <w:rPr>
          <w:sz w:val="24"/>
          <w:szCs w:val="24"/>
        </w:rPr>
        <w:t xml:space="preserve"> due to negotiations between the unit and the sponsor. Once the awards have been established, the department is then able to allocate expenses</w:t>
      </w:r>
      <w:r w:rsidR="0075768E">
        <w:rPr>
          <w:sz w:val="24"/>
          <w:szCs w:val="24"/>
        </w:rPr>
        <w:t>.</w:t>
      </w:r>
    </w:p>
    <w:p w14:paraId="5C323E70" w14:textId="26B27D19" w:rsidR="00124E34" w:rsidRPr="00124E34" w:rsidRDefault="00124E34" w:rsidP="0075768E">
      <w:pPr>
        <w:pStyle w:val="ListParagraph"/>
        <w:numPr>
          <w:ilvl w:val="0"/>
          <w:numId w:val="53"/>
        </w:numPr>
        <w:overflowPunct/>
        <w:autoSpaceDE/>
        <w:autoSpaceDN/>
        <w:adjustRightInd/>
        <w:ind w:left="2160"/>
        <w:textAlignment w:val="auto"/>
        <w:rPr>
          <w:sz w:val="24"/>
          <w:szCs w:val="24"/>
        </w:rPr>
      </w:pPr>
      <w:r w:rsidRPr="00124E34">
        <w:rPr>
          <w:sz w:val="24"/>
          <w:szCs w:val="24"/>
        </w:rPr>
        <w:t>Sponsors submitting installment payments more than 9 months in ar</w:t>
      </w:r>
      <w:r w:rsidR="004C7835">
        <w:rPr>
          <w:sz w:val="24"/>
          <w:szCs w:val="24"/>
        </w:rPr>
        <w:t>r</w:t>
      </w:r>
      <w:r w:rsidRPr="00124E34">
        <w:rPr>
          <w:sz w:val="24"/>
          <w:szCs w:val="24"/>
        </w:rPr>
        <w:t>ears. Rather than allow the fund to go in deficit and incur negative S</w:t>
      </w:r>
      <w:r w:rsidR="004C7835">
        <w:rPr>
          <w:sz w:val="24"/>
          <w:szCs w:val="24"/>
        </w:rPr>
        <w:t xml:space="preserve">hort </w:t>
      </w:r>
      <w:r w:rsidRPr="00124E34">
        <w:rPr>
          <w:sz w:val="24"/>
          <w:szCs w:val="24"/>
        </w:rPr>
        <w:t>T</w:t>
      </w:r>
      <w:r w:rsidR="004C7835">
        <w:rPr>
          <w:sz w:val="24"/>
          <w:szCs w:val="24"/>
        </w:rPr>
        <w:t xml:space="preserve">erm </w:t>
      </w:r>
      <w:r w:rsidRPr="00124E34">
        <w:rPr>
          <w:sz w:val="24"/>
          <w:szCs w:val="24"/>
        </w:rPr>
        <w:t>I</w:t>
      </w:r>
      <w:r w:rsidR="004C7835">
        <w:rPr>
          <w:sz w:val="24"/>
          <w:szCs w:val="24"/>
        </w:rPr>
        <w:t xml:space="preserve">nvestment </w:t>
      </w:r>
      <w:r w:rsidRPr="00124E34">
        <w:rPr>
          <w:sz w:val="24"/>
          <w:szCs w:val="24"/>
        </w:rPr>
        <w:t>P</w:t>
      </w:r>
      <w:r w:rsidR="004C7835">
        <w:rPr>
          <w:sz w:val="24"/>
          <w:szCs w:val="24"/>
        </w:rPr>
        <w:t>ool</w:t>
      </w:r>
      <w:r w:rsidRPr="00124E34">
        <w:rPr>
          <w:sz w:val="24"/>
          <w:szCs w:val="24"/>
        </w:rPr>
        <w:t xml:space="preserve"> charges, the expenses are moved to a temporary FAU, and once funds have been appropriated</w:t>
      </w:r>
      <w:r w:rsidR="004C7835">
        <w:rPr>
          <w:sz w:val="24"/>
          <w:szCs w:val="24"/>
        </w:rPr>
        <w:t>,</w:t>
      </w:r>
      <w:r w:rsidRPr="00124E34">
        <w:rPr>
          <w:sz w:val="24"/>
          <w:szCs w:val="24"/>
        </w:rPr>
        <w:t xml:space="preserve"> expenses are moved back to the appropriate fund.</w:t>
      </w:r>
    </w:p>
    <w:p w14:paraId="0E9244DA" w14:textId="5F2EBB05" w:rsidR="00124E34" w:rsidRPr="00124E34" w:rsidRDefault="00124E34" w:rsidP="0075768E">
      <w:pPr>
        <w:pStyle w:val="ListParagraph"/>
        <w:numPr>
          <w:ilvl w:val="0"/>
          <w:numId w:val="53"/>
        </w:numPr>
        <w:overflowPunct/>
        <w:autoSpaceDE/>
        <w:autoSpaceDN/>
        <w:adjustRightInd/>
        <w:ind w:left="2160"/>
        <w:textAlignment w:val="auto"/>
        <w:rPr>
          <w:sz w:val="24"/>
          <w:szCs w:val="24"/>
        </w:rPr>
      </w:pPr>
      <w:r w:rsidRPr="00124E34">
        <w:rPr>
          <w:sz w:val="24"/>
          <w:szCs w:val="24"/>
        </w:rPr>
        <w:t>Recharge rationalization, reorganizations/transfers within and across multiples units, FAU changes for 19900 funding, and late communications regarding funding source changes</w:t>
      </w:r>
      <w:r w:rsidR="0075768E">
        <w:rPr>
          <w:sz w:val="24"/>
          <w:szCs w:val="24"/>
        </w:rPr>
        <w:t>.</w:t>
      </w:r>
      <w:r w:rsidRPr="00124E34">
        <w:rPr>
          <w:sz w:val="24"/>
          <w:szCs w:val="24"/>
        </w:rPr>
        <w:t xml:space="preserve">  </w:t>
      </w:r>
    </w:p>
    <w:p w14:paraId="1C6823D5" w14:textId="77777777" w:rsidR="00124E34" w:rsidRPr="00124E34" w:rsidRDefault="00124E34" w:rsidP="0075768E">
      <w:pPr>
        <w:ind w:left="1440"/>
        <w:rPr>
          <w:sz w:val="24"/>
          <w:szCs w:val="24"/>
        </w:rPr>
      </w:pPr>
      <w:r w:rsidRPr="00124E34">
        <w:rPr>
          <w:color w:val="1F497D"/>
          <w:sz w:val="24"/>
          <w:szCs w:val="24"/>
        </w:rPr>
        <w:t> </w:t>
      </w:r>
    </w:p>
    <w:p w14:paraId="68A4EAE1" w14:textId="77777777" w:rsidR="00124E34" w:rsidRPr="00124E34" w:rsidRDefault="00124E34" w:rsidP="0075768E">
      <w:pPr>
        <w:ind w:left="1440"/>
        <w:rPr>
          <w:sz w:val="24"/>
          <w:szCs w:val="24"/>
        </w:rPr>
      </w:pPr>
      <w:r w:rsidRPr="00124E34">
        <w:rPr>
          <w:b/>
          <w:bCs/>
          <w:sz w:val="24"/>
          <w:szCs w:val="24"/>
        </w:rPr>
        <w:t>UCPath Conversion Impact  </w:t>
      </w:r>
    </w:p>
    <w:p w14:paraId="394AD86F" w14:textId="77777777" w:rsidR="0075768E" w:rsidRDefault="0075768E" w:rsidP="0075768E">
      <w:pPr>
        <w:ind w:left="1440"/>
        <w:rPr>
          <w:sz w:val="24"/>
          <w:szCs w:val="24"/>
          <w:shd w:val="clear" w:color="auto" w:fill="FFFFFF"/>
        </w:rPr>
      </w:pPr>
    </w:p>
    <w:p w14:paraId="19D3B765" w14:textId="0724F1DF" w:rsidR="00124E34" w:rsidRPr="00124E34" w:rsidRDefault="00124E34" w:rsidP="0075768E">
      <w:pPr>
        <w:ind w:left="1440"/>
        <w:rPr>
          <w:sz w:val="24"/>
          <w:szCs w:val="24"/>
        </w:rPr>
      </w:pPr>
      <w:r w:rsidRPr="00124E34">
        <w:rPr>
          <w:sz w:val="24"/>
          <w:szCs w:val="24"/>
          <w:shd w:val="clear" w:color="auto" w:fill="FFFFFF"/>
        </w:rPr>
        <w:t xml:space="preserve">Thorough payroll reviews have increased in difficulty given limited information available to SSC clients since the </w:t>
      </w:r>
      <w:r w:rsidR="004C7835">
        <w:rPr>
          <w:sz w:val="24"/>
          <w:szCs w:val="24"/>
          <w:shd w:val="clear" w:color="auto" w:fill="FFFFFF"/>
        </w:rPr>
        <w:t>UC</w:t>
      </w:r>
      <w:r w:rsidRPr="00124E34">
        <w:rPr>
          <w:sz w:val="24"/>
          <w:szCs w:val="24"/>
          <w:shd w:val="clear" w:color="auto" w:fill="FFFFFF"/>
        </w:rPr>
        <w:t>P</w:t>
      </w:r>
      <w:r w:rsidR="004C7835">
        <w:rPr>
          <w:sz w:val="24"/>
          <w:szCs w:val="24"/>
          <w:shd w:val="clear" w:color="auto" w:fill="FFFFFF"/>
        </w:rPr>
        <w:t>ath</w:t>
      </w:r>
      <w:r w:rsidRPr="00124E34">
        <w:rPr>
          <w:sz w:val="24"/>
          <w:szCs w:val="24"/>
          <w:shd w:val="clear" w:color="auto" w:fill="FFFFFF"/>
        </w:rPr>
        <w:t xml:space="preserve"> launch. There is no reporting, for example, on future dated FAU changes which is a deficiency in the ability to audit and plan. </w:t>
      </w:r>
      <w:r w:rsidRPr="00124E34">
        <w:rPr>
          <w:sz w:val="24"/>
          <w:szCs w:val="24"/>
        </w:rPr>
        <w:t xml:space="preserve">There were a number of errors with </w:t>
      </w:r>
      <w:r w:rsidR="004C7835">
        <w:rPr>
          <w:sz w:val="24"/>
          <w:szCs w:val="24"/>
        </w:rPr>
        <w:t>payroll for</w:t>
      </w:r>
      <w:r w:rsidRPr="00124E34">
        <w:rPr>
          <w:sz w:val="24"/>
          <w:szCs w:val="24"/>
        </w:rPr>
        <w:t xml:space="preserve"> Dec</w:t>
      </w:r>
      <w:r w:rsidR="004C7835">
        <w:rPr>
          <w:sz w:val="24"/>
          <w:szCs w:val="24"/>
        </w:rPr>
        <w:t>ember 2017 through February 2018</w:t>
      </w:r>
      <w:r w:rsidRPr="00124E34">
        <w:rPr>
          <w:sz w:val="24"/>
          <w:szCs w:val="24"/>
        </w:rPr>
        <w:t xml:space="preserve"> for H</w:t>
      </w:r>
      <w:r w:rsidR="00C66D23">
        <w:rPr>
          <w:sz w:val="24"/>
          <w:szCs w:val="24"/>
        </w:rPr>
        <w:t>ealth Sciences</w:t>
      </w:r>
      <w:r w:rsidRPr="00124E34">
        <w:rPr>
          <w:sz w:val="24"/>
          <w:szCs w:val="24"/>
        </w:rPr>
        <w:t xml:space="preserve"> faculty. </w:t>
      </w:r>
      <w:r w:rsidR="0075768E">
        <w:rPr>
          <w:sz w:val="24"/>
          <w:szCs w:val="24"/>
        </w:rPr>
        <w:t xml:space="preserve"> </w:t>
      </w:r>
      <w:r w:rsidR="00C66D23">
        <w:rPr>
          <w:sz w:val="24"/>
          <w:szCs w:val="24"/>
        </w:rPr>
        <w:t xml:space="preserve">Examples include, </w:t>
      </w:r>
      <w:r w:rsidRPr="00124E34">
        <w:rPr>
          <w:sz w:val="24"/>
          <w:szCs w:val="24"/>
        </w:rPr>
        <w:t>the N</w:t>
      </w:r>
      <w:r w:rsidR="00C66D23">
        <w:rPr>
          <w:sz w:val="24"/>
          <w:szCs w:val="24"/>
        </w:rPr>
        <w:t>ational Institutes of Health (N</w:t>
      </w:r>
      <w:r w:rsidRPr="00124E34">
        <w:rPr>
          <w:sz w:val="24"/>
          <w:szCs w:val="24"/>
        </w:rPr>
        <w:t>IH</w:t>
      </w:r>
      <w:r w:rsidR="00C66D23">
        <w:rPr>
          <w:sz w:val="24"/>
          <w:szCs w:val="24"/>
        </w:rPr>
        <w:t>)</w:t>
      </w:r>
      <w:r w:rsidRPr="00124E34">
        <w:rPr>
          <w:sz w:val="24"/>
          <w:szCs w:val="24"/>
        </w:rPr>
        <w:t xml:space="preserve"> cap was not appropriated correctly, </w:t>
      </w:r>
      <w:r w:rsidR="00C66D23">
        <w:rPr>
          <w:sz w:val="24"/>
          <w:szCs w:val="24"/>
        </w:rPr>
        <w:t xml:space="preserve">some </w:t>
      </w:r>
      <w:r w:rsidRPr="00124E34">
        <w:rPr>
          <w:sz w:val="24"/>
          <w:szCs w:val="24"/>
        </w:rPr>
        <w:t>faculty were over/under paid, vacation credits posted to a default FAU</w:t>
      </w:r>
      <w:r w:rsidR="00C66D23">
        <w:rPr>
          <w:sz w:val="24"/>
          <w:szCs w:val="24"/>
        </w:rPr>
        <w:t>, etc.</w:t>
      </w:r>
      <w:r w:rsidRPr="00124E34">
        <w:rPr>
          <w:sz w:val="24"/>
          <w:szCs w:val="24"/>
        </w:rPr>
        <w:t xml:space="preserve"> </w:t>
      </w:r>
      <w:r w:rsidR="00C66D23">
        <w:rPr>
          <w:sz w:val="24"/>
          <w:szCs w:val="24"/>
        </w:rPr>
        <w:t>These</w:t>
      </w:r>
      <w:r w:rsidRPr="00124E34">
        <w:rPr>
          <w:sz w:val="24"/>
          <w:szCs w:val="24"/>
        </w:rPr>
        <w:t xml:space="preserve"> require</w:t>
      </w:r>
      <w:r w:rsidR="00C66D23">
        <w:rPr>
          <w:sz w:val="24"/>
          <w:szCs w:val="24"/>
        </w:rPr>
        <w:t>d</w:t>
      </w:r>
      <w:r w:rsidRPr="00124E34">
        <w:rPr>
          <w:sz w:val="24"/>
          <w:szCs w:val="24"/>
        </w:rPr>
        <w:t xml:space="preserve"> cost transfer</w:t>
      </w:r>
      <w:r w:rsidR="00C66D23">
        <w:rPr>
          <w:sz w:val="24"/>
          <w:szCs w:val="24"/>
        </w:rPr>
        <w:t>s</w:t>
      </w:r>
      <w:r w:rsidRPr="00124E34">
        <w:rPr>
          <w:sz w:val="24"/>
          <w:szCs w:val="24"/>
        </w:rPr>
        <w:t xml:space="preserve"> to correct the error. </w:t>
      </w:r>
      <w:r w:rsidR="0075768E">
        <w:rPr>
          <w:sz w:val="24"/>
          <w:szCs w:val="24"/>
        </w:rPr>
        <w:t xml:space="preserve"> </w:t>
      </w:r>
      <w:r w:rsidRPr="00124E34">
        <w:rPr>
          <w:sz w:val="24"/>
          <w:szCs w:val="24"/>
        </w:rPr>
        <w:t>Th</w:t>
      </w:r>
      <w:r w:rsidR="00C66D23">
        <w:rPr>
          <w:sz w:val="24"/>
          <w:szCs w:val="24"/>
        </w:rPr>
        <w:t>e</w:t>
      </w:r>
      <w:r w:rsidRPr="00124E34">
        <w:rPr>
          <w:sz w:val="24"/>
          <w:szCs w:val="24"/>
        </w:rPr>
        <w:t>s</w:t>
      </w:r>
      <w:r w:rsidR="00C66D23">
        <w:rPr>
          <w:sz w:val="24"/>
          <w:szCs w:val="24"/>
        </w:rPr>
        <w:t>e</w:t>
      </w:r>
      <w:r w:rsidRPr="00124E34">
        <w:rPr>
          <w:sz w:val="24"/>
          <w:szCs w:val="24"/>
        </w:rPr>
        <w:t xml:space="preserve"> also negatively impact grant draw-downs for Extramural Fund Accounting office, as adjustments to draw downs </w:t>
      </w:r>
      <w:r w:rsidR="00C66D23">
        <w:rPr>
          <w:sz w:val="24"/>
          <w:szCs w:val="24"/>
        </w:rPr>
        <w:t>are</w:t>
      </w:r>
      <w:r w:rsidRPr="00124E34">
        <w:rPr>
          <w:sz w:val="24"/>
          <w:szCs w:val="24"/>
        </w:rPr>
        <w:t xml:space="preserve"> need</w:t>
      </w:r>
      <w:r w:rsidR="00C66D23">
        <w:rPr>
          <w:sz w:val="24"/>
          <w:szCs w:val="24"/>
        </w:rPr>
        <w:t>ed</w:t>
      </w:r>
      <w:r w:rsidRPr="00124E34">
        <w:rPr>
          <w:sz w:val="24"/>
          <w:szCs w:val="24"/>
        </w:rPr>
        <w:t xml:space="preserve"> to correct </w:t>
      </w:r>
      <w:r w:rsidR="00C66D23">
        <w:rPr>
          <w:sz w:val="24"/>
          <w:szCs w:val="24"/>
        </w:rPr>
        <w:t>F</w:t>
      </w:r>
      <w:r w:rsidRPr="00124E34">
        <w:rPr>
          <w:sz w:val="24"/>
          <w:szCs w:val="24"/>
        </w:rPr>
        <w:t>aculty salary.</w:t>
      </w:r>
      <w:r w:rsidRPr="00124E34">
        <w:rPr>
          <w:sz w:val="24"/>
          <w:szCs w:val="24"/>
          <w:shd w:val="clear" w:color="auto" w:fill="FFFFFF"/>
        </w:rPr>
        <w:t xml:space="preserve"> </w:t>
      </w:r>
      <w:r w:rsidR="0075768E">
        <w:rPr>
          <w:sz w:val="24"/>
          <w:szCs w:val="24"/>
          <w:shd w:val="clear" w:color="auto" w:fill="FFFFFF"/>
        </w:rPr>
        <w:t xml:space="preserve"> </w:t>
      </w:r>
      <w:r w:rsidRPr="00124E34">
        <w:rPr>
          <w:sz w:val="24"/>
          <w:szCs w:val="24"/>
          <w:shd w:val="clear" w:color="auto" w:fill="FFFFFF"/>
        </w:rPr>
        <w:t>Additionally, TARS no longer allows departments to split reported time across multiple FAUs.</w:t>
      </w:r>
      <w:r w:rsidRPr="00124E34">
        <w:rPr>
          <w:color w:val="333333"/>
          <w:sz w:val="24"/>
          <w:szCs w:val="24"/>
          <w:shd w:val="clear" w:color="auto" w:fill="FFFFFF"/>
        </w:rPr>
        <w:t xml:space="preserve">  </w:t>
      </w:r>
    </w:p>
    <w:p w14:paraId="6A2F689E" w14:textId="77777777" w:rsidR="00124E34" w:rsidRPr="00124E34" w:rsidRDefault="00124E34" w:rsidP="0075768E">
      <w:pPr>
        <w:ind w:left="1440"/>
        <w:rPr>
          <w:sz w:val="24"/>
          <w:szCs w:val="24"/>
        </w:rPr>
      </w:pPr>
      <w:r w:rsidRPr="00124E34">
        <w:rPr>
          <w:color w:val="1F497D"/>
          <w:sz w:val="24"/>
          <w:szCs w:val="24"/>
          <w:shd w:val="clear" w:color="auto" w:fill="FFFFFF"/>
        </w:rPr>
        <w:t> </w:t>
      </w:r>
    </w:p>
    <w:p w14:paraId="37CD67D1" w14:textId="5BE6560C" w:rsidR="00124E34" w:rsidRPr="00124E34" w:rsidRDefault="00124E34" w:rsidP="0075768E">
      <w:pPr>
        <w:ind w:left="1440"/>
        <w:rPr>
          <w:sz w:val="24"/>
          <w:szCs w:val="24"/>
        </w:rPr>
      </w:pPr>
      <w:r w:rsidRPr="00124E34">
        <w:rPr>
          <w:sz w:val="24"/>
          <w:szCs w:val="24"/>
          <w:shd w:val="clear" w:color="auto" w:fill="FFFFFF"/>
        </w:rPr>
        <w:t xml:space="preserve">As a result of these factors, the campus should anticipate an increase in cost transfers until campus systems are fully remediated in the post UCPath environment. After systems and related processes are optimized, we anticipate there will be efficiency gains and as a result, a decrease </w:t>
      </w:r>
      <w:r w:rsidR="004C7835">
        <w:rPr>
          <w:sz w:val="24"/>
          <w:szCs w:val="24"/>
          <w:shd w:val="clear" w:color="auto" w:fill="FFFFFF"/>
        </w:rPr>
        <w:t xml:space="preserve">in </w:t>
      </w:r>
      <w:r w:rsidRPr="00124E34">
        <w:rPr>
          <w:sz w:val="24"/>
          <w:szCs w:val="24"/>
          <w:shd w:val="clear" w:color="auto" w:fill="FFFFFF"/>
        </w:rPr>
        <w:t xml:space="preserve">the number of cost transfers. </w:t>
      </w:r>
    </w:p>
    <w:p w14:paraId="0DB3C619" w14:textId="49307647" w:rsidR="00227A00" w:rsidRDefault="00227A00" w:rsidP="00EF5E9F">
      <w:pPr>
        <w:pStyle w:val="NoSpacing"/>
        <w:rPr>
          <w:sz w:val="24"/>
          <w:szCs w:val="24"/>
        </w:rPr>
      </w:pPr>
    </w:p>
    <w:p w14:paraId="63365543" w14:textId="6DB3560D" w:rsidR="006A0584" w:rsidRPr="00B5215A" w:rsidRDefault="006A0584" w:rsidP="00EC6BB5">
      <w:pPr>
        <w:pStyle w:val="NoSpacing"/>
        <w:ind w:left="720"/>
        <w:rPr>
          <w:sz w:val="24"/>
          <w:szCs w:val="24"/>
        </w:rPr>
      </w:pPr>
      <w:r>
        <w:rPr>
          <w:sz w:val="24"/>
          <w:szCs w:val="24"/>
        </w:rPr>
        <w:t xml:space="preserve">Audit Note: </w:t>
      </w:r>
      <w:r w:rsidR="00AC3BB2">
        <w:rPr>
          <w:sz w:val="24"/>
          <w:szCs w:val="24"/>
        </w:rPr>
        <w:t xml:space="preserve">The Management Response/Corrective Actions above were provided in April 2018.  </w:t>
      </w:r>
      <w:r w:rsidR="00AC3BB2">
        <w:rPr>
          <w:sz w:val="24"/>
        </w:rPr>
        <w:t xml:space="preserve">We will perform follow-up procedures in the future to review the status of management action.  </w:t>
      </w:r>
    </w:p>
    <w:sectPr w:rsidR="006A0584" w:rsidRPr="00B5215A" w:rsidSect="00EF5E9F">
      <w:headerReference w:type="even" r:id="rId15"/>
      <w:headerReference w:type="default" r:id="rId16"/>
      <w:headerReference w:type="first" r:id="rId17"/>
      <w:pgSz w:w="12240" w:h="15840"/>
      <w:pgMar w:top="1260" w:right="1710" w:bottom="900" w:left="180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34431" w14:textId="77777777" w:rsidR="00556435" w:rsidRDefault="00556435">
      <w:r>
        <w:separator/>
      </w:r>
    </w:p>
  </w:endnote>
  <w:endnote w:type="continuationSeparator" w:id="0">
    <w:p w14:paraId="46527610" w14:textId="77777777" w:rsidR="00556435" w:rsidRDefault="00556435">
      <w:r>
        <w:continuationSeparator/>
      </w:r>
    </w:p>
  </w:endnote>
  <w:endnote w:type="continuationNotice" w:id="1">
    <w:p w14:paraId="5747C5EC" w14:textId="77777777" w:rsidR="00556435" w:rsidRDefault="00556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F13D9" w14:textId="77777777" w:rsidR="00556435" w:rsidRDefault="00556435">
      <w:r>
        <w:separator/>
      </w:r>
    </w:p>
  </w:footnote>
  <w:footnote w:type="continuationSeparator" w:id="0">
    <w:p w14:paraId="3714F5F2" w14:textId="77777777" w:rsidR="00556435" w:rsidRDefault="00556435">
      <w:r>
        <w:continuationSeparator/>
      </w:r>
    </w:p>
  </w:footnote>
  <w:footnote w:type="continuationNotice" w:id="1">
    <w:p w14:paraId="467A0841" w14:textId="77777777" w:rsidR="00556435" w:rsidRDefault="00556435"/>
  </w:footnote>
  <w:footnote w:id="2">
    <w:p w14:paraId="2F260E54" w14:textId="77777777" w:rsidR="00E65A2B" w:rsidRPr="00F93473" w:rsidRDefault="00E65A2B" w:rsidP="00E65A2B">
      <w:pPr>
        <w:pStyle w:val="FootnoteText"/>
        <w:rPr>
          <w:color w:val="0000FF"/>
          <w:u w:val="single"/>
        </w:rPr>
      </w:pPr>
      <w:r>
        <w:rPr>
          <w:rStyle w:val="FootnoteReference"/>
        </w:rPr>
        <w:footnoteRef/>
      </w:r>
      <w:r>
        <w:t xml:space="preserve"> </w:t>
      </w:r>
      <w:hyperlink r:id="rId1" w:history="1">
        <w:r w:rsidRPr="00703AC2">
          <w:rPr>
            <w:rStyle w:val="Hyperlink"/>
          </w:rPr>
          <w:t>http://afs.ucdavis.edu/systems/kuali/fiscal-close/accruals-deferrals.html</w:t>
        </w:r>
      </w:hyperlink>
    </w:p>
  </w:footnote>
  <w:footnote w:id="3">
    <w:p w14:paraId="620067A2" w14:textId="77777777" w:rsidR="00E65A2B" w:rsidRDefault="00E65A2B" w:rsidP="00E65A2B">
      <w:pPr>
        <w:pStyle w:val="FootnoteText"/>
      </w:pPr>
      <w:r>
        <w:rPr>
          <w:rStyle w:val="FootnoteReference"/>
        </w:rPr>
        <w:footnoteRef/>
      </w:r>
      <w:r>
        <w:t xml:space="preserve"> </w:t>
      </w:r>
      <w:hyperlink r:id="rId2" w:history="1">
        <w:r w:rsidRPr="00703AC2">
          <w:rPr>
            <w:rStyle w:val="Hyperlink"/>
          </w:rPr>
          <w:t>http://www.utdallas.edu/afr/files/FY15YECoordinationMeeting.pdf</w:t>
        </w:r>
      </w:hyperlink>
    </w:p>
  </w:footnote>
  <w:footnote w:id="4">
    <w:p w14:paraId="449497C1" w14:textId="77777777" w:rsidR="00E65A2B" w:rsidRPr="008B223C" w:rsidRDefault="00E65A2B" w:rsidP="00E65A2B">
      <w:pPr>
        <w:pStyle w:val="FootnoteText"/>
        <w:rPr>
          <w:color w:val="0000FF"/>
          <w:u w:val="single"/>
        </w:rPr>
      </w:pPr>
      <w:r>
        <w:rPr>
          <w:rStyle w:val="FootnoteReference"/>
        </w:rPr>
        <w:footnoteRef/>
      </w:r>
      <w:r>
        <w:t xml:space="preserve"> </w:t>
      </w:r>
      <w:hyperlink r:id="rId3" w:history="1">
        <w:r w:rsidRPr="00703AC2">
          <w:rPr>
            <w:rStyle w:val="Hyperlink"/>
          </w:rPr>
          <w:t>http://controller.osu.edu/acc/acc-doc-genled.shtm</w:t>
        </w:r>
      </w:hyperlink>
    </w:p>
  </w:footnote>
  <w:footnote w:id="5">
    <w:p w14:paraId="138EA227" w14:textId="77777777" w:rsidR="00E65A2B" w:rsidRDefault="00E65A2B" w:rsidP="00E65A2B">
      <w:pPr>
        <w:pStyle w:val="ListParagraph"/>
        <w:ind w:left="0"/>
      </w:pPr>
      <w:r>
        <w:rPr>
          <w:rStyle w:val="FootnoteReference"/>
        </w:rPr>
        <w:footnoteRef/>
      </w:r>
      <w:r>
        <w:t xml:space="preserve"> S</w:t>
      </w:r>
      <w:r w:rsidRPr="008829C9">
        <w:rPr>
          <w:rFonts w:asciiTheme="minorHAnsi" w:hAnsiTheme="minorHAnsi"/>
        </w:rPr>
        <w:t xml:space="preserve">ome of the JE’s tagged as ACR (accrual source code) are not accruals. The source code is used because it creates reversing JE.  Reversing JEs can be created with alternative source codes.  </w:t>
      </w:r>
    </w:p>
  </w:footnote>
  <w:footnote w:id="6">
    <w:p w14:paraId="61EF803E" w14:textId="77777777" w:rsidR="00E65A2B" w:rsidRDefault="00E65A2B" w:rsidP="00E65A2B">
      <w:pPr>
        <w:pStyle w:val="FootnoteText"/>
      </w:pPr>
      <w:r>
        <w:rPr>
          <w:rStyle w:val="FootnoteReference"/>
        </w:rPr>
        <w:footnoteRef/>
      </w:r>
      <w:r>
        <w:t xml:space="preserve"> For example, Princeton uses PORA to automatically accrue expenses over $2,500.  Non-standard accruals (requiring manual entry) are made by 13</w:t>
      </w:r>
      <w:r w:rsidRPr="008B223C">
        <w:rPr>
          <w:vertAlign w:val="superscript"/>
        </w:rPr>
        <w:t>th</w:t>
      </w:r>
      <w:r>
        <w:t xml:space="preserve"> day of close (excluding topside accruals like period 998). </w:t>
      </w:r>
      <w:hyperlink r:id="rId4" w:history="1">
        <w:r w:rsidRPr="00703AC2">
          <w:rPr>
            <w:rStyle w:val="Hyperlink"/>
          </w:rPr>
          <w:t>https://finance.princeton.edu/how-to/financial-management/year-end-close/year-end-accruals/index.xml</w:t>
        </w:r>
      </w:hyperlink>
      <w:r>
        <w:t xml:space="preserve">  </w:t>
      </w:r>
    </w:p>
  </w:footnote>
  <w:footnote w:id="7">
    <w:p w14:paraId="3C17AEB4" w14:textId="77777777" w:rsidR="00E65A2B" w:rsidRDefault="00E65A2B" w:rsidP="00E65A2B">
      <w:pPr>
        <w:pStyle w:val="FootnoteText"/>
      </w:pPr>
      <w:r w:rsidRPr="008B223C">
        <w:footnoteRef/>
      </w:r>
      <w:r>
        <w:t xml:space="preserve"> </w:t>
      </w:r>
      <w:r w:rsidRPr="008B223C">
        <w:t>Note that even without PORA, there are still queries that can be run to create a central upload JE for accrual, which would pull receipts on PO lines not invoiced. In this environment, such a query may be more difficult as not all of the data resides in the PeopleSoft PO module, and instead resides in eBuy, an in-house developed system.</w:t>
      </w:r>
      <w:r>
        <w:rPr>
          <w:sz w:val="24"/>
          <w:szCs w:val="24"/>
        </w:rPr>
        <w:t xml:space="preserve">  </w:t>
      </w:r>
    </w:p>
  </w:footnote>
  <w:footnote w:id="8">
    <w:p w14:paraId="7396039B" w14:textId="77777777" w:rsidR="00E65A2B" w:rsidRPr="00F93473" w:rsidRDefault="00E65A2B" w:rsidP="00E65A2B">
      <w:pPr>
        <w:pStyle w:val="FootnoteText"/>
        <w:rPr>
          <w:color w:val="0000FF"/>
          <w:u w:val="single"/>
        </w:rPr>
      </w:pPr>
      <w:r>
        <w:rPr>
          <w:rStyle w:val="FootnoteReference"/>
        </w:rPr>
        <w:footnoteRef/>
      </w:r>
      <w:r>
        <w:t xml:space="preserve"> </w:t>
      </w:r>
      <w:hyperlink r:id="rId5" w:history="1">
        <w:r w:rsidRPr="00703AC2">
          <w:rPr>
            <w:rStyle w:val="Hyperlink"/>
          </w:rPr>
          <w:t>http://controller.osu.edu/acc/acc-doc-genled.shtm</w:t>
        </w:r>
      </w:hyperlink>
    </w:p>
  </w:footnote>
  <w:footnote w:id="9">
    <w:p w14:paraId="5D1557CE" w14:textId="77777777" w:rsidR="00E65A2B" w:rsidRDefault="00E65A2B" w:rsidP="00E65A2B">
      <w:pPr>
        <w:pStyle w:val="FootnoteText"/>
      </w:pPr>
      <w:r>
        <w:rPr>
          <w:rStyle w:val="FootnoteReference"/>
        </w:rPr>
        <w:footnoteRef/>
      </w:r>
      <w:r>
        <w:t xml:space="preserve"> </w:t>
      </w:r>
      <w:hyperlink r:id="rId6" w:history="1">
        <w:r w:rsidRPr="00703AC2">
          <w:rPr>
            <w:rStyle w:val="Hyperlink"/>
          </w:rPr>
          <w:t>http://www.utdallas.edu/afr/files/FY15YECoordinationMeeting.pdf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28145" w14:textId="4470CD0F" w:rsidR="00556435" w:rsidRDefault="00556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CD4A" w14:textId="36778C98" w:rsidR="00556435" w:rsidRDefault="00556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BE63" w14:textId="5A3F2B66" w:rsidR="00556435" w:rsidRDefault="005564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612E9" w14:textId="51498BC5" w:rsidR="00556435" w:rsidRDefault="005564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E2CF" w14:textId="5F15B295" w:rsidR="00556435" w:rsidRPr="003A488A" w:rsidRDefault="00556435" w:rsidP="00E5584A">
    <w:pPr>
      <w:pStyle w:val="Header"/>
      <w:rPr>
        <w:sz w:val="24"/>
        <w:szCs w:val="24"/>
      </w:rPr>
    </w:pPr>
    <w:r w:rsidRPr="003A488A">
      <w:rPr>
        <w:sz w:val="24"/>
        <w:szCs w:val="24"/>
      </w:rPr>
      <w:t>R201</w:t>
    </w:r>
    <w:r>
      <w:rPr>
        <w:sz w:val="24"/>
        <w:szCs w:val="24"/>
      </w:rPr>
      <w:t>7-11b</w:t>
    </w:r>
    <w:r w:rsidRPr="003A488A">
      <w:rPr>
        <w:sz w:val="24"/>
        <w:szCs w:val="24"/>
      </w:rPr>
      <w:t xml:space="preserve"> Analytic Review</w:t>
    </w:r>
    <w:r>
      <w:rPr>
        <w:sz w:val="24"/>
        <w:szCs w:val="24"/>
      </w:rPr>
      <w:t>-General Ledger</w:t>
    </w:r>
    <w:r w:rsidRPr="003A488A">
      <w:rPr>
        <w:sz w:val="24"/>
        <w:szCs w:val="24"/>
      </w:rPr>
      <w:tab/>
    </w:r>
    <w:r w:rsidR="00EC6BB5">
      <w:rPr>
        <w:sz w:val="24"/>
        <w:szCs w:val="24"/>
      </w:rPr>
      <w:t xml:space="preserve">December </w:t>
    </w:r>
    <w:r w:rsidR="0005757B">
      <w:rPr>
        <w:sz w:val="24"/>
        <w:szCs w:val="24"/>
      </w:rPr>
      <w:t>2</w:t>
    </w:r>
    <w:r w:rsidR="003E75A4">
      <w:rPr>
        <w:sz w:val="24"/>
        <w:szCs w:val="24"/>
      </w:rPr>
      <w:t>1</w:t>
    </w:r>
    <w:r w:rsidR="00ED5577">
      <w:rPr>
        <w:sz w:val="24"/>
        <w:szCs w:val="24"/>
      </w:rPr>
      <w:t>, 2018</w:t>
    </w:r>
    <w:r>
      <w:rPr>
        <w:sz w:val="24"/>
        <w:szCs w:val="24"/>
      </w:rPr>
      <w:t xml:space="preserve"> </w:t>
    </w:r>
    <w:r w:rsidRPr="003A488A">
      <w:rPr>
        <w:sz w:val="24"/>
        <w:szCs w:val="24"/>
      </w:rPr>
      <w:t xml:space="preserve">– Page </w:t>
    </w:r>
    <w:r w:rsidRPr="003A488A">
      <w:rPr>
        <w:rStyle w:val="PageNumber"/>
        <w:sz w:val="24"/>
        <w:szCs w:val="24"/>
      </w:rPr>
      <w:fldChar w:fldCharType="begin"/>
    </w:r>
    <w:r w:rsidRPr="003A488A">
      <w:rPr>
        <w:rStyle w:val="PageNumber"/>
        <w:sz w:val="24"/>
        <w:szCs w:val="24"/>
      </w:rPr>
      <w:instrText xml:space="preserve"> PAGE </w:instrText>
    </w:r>
    <w:r w:rsidRPr="003A488A">
      <w:rPr>
        <w:rStyle w:val="PageNumber"/>
        <w:sz w:val="24"/>
        <w:szCs w:val="24"/>
      </w:rPr>
      <w:fldChar w:fldCharType="separate"/>
    </w:r>
    <w:r w:rsidR="00557294">
      <w:rPr>
        <w:rStyle w:val="PageNumber"/>
        <w:noProof/>
        <w:sz w:val="24"/>
        <w:szCs w:val="24"/>
      </w:rPr>
      <w:t>2</w:t>
    </w:r>
    <w:r w:rsidRPr="003A488A">
      <w:rPr>
        <w:rStyle w:val="PageNumber"/>
        <w:sz w:val="24"/>
        <w:szCs w:val="24"/>
      </w:rPr>
      <w:fldChar w:fldCharType="end"/>
    </w:r>
  </w:p>
  <w:p w14:paraId="75EBDA64" w14:textId="77777777" w:rsidR="00556435" w:rsidRDefault="005564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F31DE" w14:textId="3513BD15" w:rsidR="00556435" w:rsidRDefault="00556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upperLetter"/>
      <w:lvlText w:val="%1."/>
      <w:lvlJc w:val="left"/>
      <w:pPr>
        <w:ind w:left="0" w:hanging="308"/>
      </w:pPr>
      <w:rPr>
        <w:rFonts w:ascii="Arial" w:hAnsi="Arial" w:cs="Arial"/>
        <w:b/>
        <w:bCs/>
        <w:i/>
        <w:iCs/>
        <w:sz w:val="24"/>
        <w:szCs w:val="24"/>
      </w:rPr>
    </w:lvl>
    <w:lvl w:ilvl="1">
      <w:start w:val="1"/>
      <w:numFmt w:val="decimal"/>
      <w:lvlText w:val="%2."/>
      <w:lvlJc w:val="left"/>
      <w:pPr>
        <w:ind w:left="0" w:hanging="360"/>
      </w:pPr>
      <w:rPr>
        <w:rFonts w:ascii="Arial" w:hAnsi="Arial" w:cs="Arial"/>
        <w:b w:val="0"/>
        <w:bCs w:val="0"/>
        <w:sz w:val="24"/>
        <w:szCs w:val="24"/>
      </w:rPr>
    </w:lvl>
    <w:lvl w:ilvl="2">
      <w:start w:val="1"/>
      <w:numFmt w:val="lowerLetter"/>
      <w:lvlText w:val="%3."/>
      <w:lvlJc w:val="left"/>
      <w:pPr>
        <w:ind w:left="0" w:hanging="360"/>
      </w:pPr>
      <w:rPr>
        <w:rFonts w:ascii="Arial" w:hAnsi="Arial" w:cs="Arial"/>
        <w:b w:val="0"/>
        <w:bCs w:val="0"/>
        <w:sz w:val="24"/>
        <w:szCs w:val="24"/>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16F1B81"/>
    <w:multiLevelType w:val="hybridMultilevel"/>
    <w:tmpl w:val="C33EB8A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3C07FED"/>
    <w:multiLevelType w:val="hybridMultilevel"/>
    <w:tmpl w:val="D17E69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6E24C5D"/>
    <w:multiLevelType w:val="multilevel"/>
    <w:tmpl w:val="354066C2"/>
    <w:lvl w:ilvl="0">
      <w:start w:val="1"/>
      <w:numFmt w:val="lowerLetter"/>
      <w:lvlText w:val="%1)"/>
      <w:lvlJc w:val="left"/>
      <w:pPr>
        <w:tabs>
          <w:tab w:val="num" w:pos="1800"/>
        </w:tabs>
        <w:ind w:left="1800" w:hanging="360"/>
      </w:pPr>
      <w:rPr>
        <w:rFonts w:ascii="Times New Roman" w:eastAsia="Times New Roman" w:hAnsi="Times New Roman" w:cs="Times New Roman"/>
        <w:u w:val="none"/>
      </w:rPr>
    </w:lvl>
    <w:lvl w:ilvl="1">
      <w:start w:val="1"/>
      <w:numFmt w:val="lowerLetter"/>
      <w:lvlText w:val="%2)"/>
      <w:lvlJc w:val="left"/>
      <w:pPr>
        <w:tabs>
          <w:tab w:val="num" w:pos="2520"/>
        </w:tabs>
        <w:ind w:left="2520" w:hanging="360"/>
      </w:pPr>
      <w:rPr>
        <w:rFonts w:hint="default"/>
        <w:u w:val="none"/>
      </w:rPr>
    </w:lvl>
    <w:lvl w:ilvl="2">
      <w:start w:val="1"/>
      <w:numFmt w:val="decimal"/>
      <w:lvlText w:val="%3."/>
      <w:lvlJc w:val="left"/>
      <w:pPr>
        <w:tabs>
          <w:tab w:val="num" w:pos="3240"/>
        </w:tabs>
        <w:ind w:left="3240" w:hanging="360"/>
      </w:pPr>
      <w:rPr>
        <w:rFonts w:hint="default"/>
        <w:b/>
        <w:u w:val="none"/>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upperLetter"/>
      <w:lvlText w:val="%6."/>
      <w:lvlJc w:val="left"/>
      <w:pPr>
        <w:ind w:left="5400" w:hanging="360"/>
      </w:pPr>
      <w:rPr>
        <w:rFont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C525DEF"/>
    <w:multiLevelType w:val="multilevel"/>
    <w:tmpl w:val="A838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B30C1"/>
    <w:multiLevelType w:val="hybridMultilevel"/>
    <w:tmpl w:val="7214D9D2"/>
    <w:lvl w:ilvl="0" w:tplc="2F74E2FC">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241598"/>
    <w:multiLevelType w:val="multilevel"/>
    <w:tmpl w:val="3CA04D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500146"/>
    <w:multiLevelType w:val="hybridMultilevel"/>
    <w:tmpl w:val="0F161E7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DE4279"/>
    <w:multiLevelType w:val="hybridMultilevel"/>
    <w:tmpl w:val="2B8E4EC0"/>
    <w:lvl w:ilvl="0" w:tplc="6D806250">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432567"/>
    <w:multiLevelType w:val="hybridMultilevel"/>
    <w:tmpl w:val="AF840F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530246"/>
    <w:multiLevelType w:val="hybridMultilevel"/>
    <w:tmpl w:val="F704E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2B309B"/>
    <w:multiLevelType w:val="hybridMultilevel"/>
    <w:tmpl w:val="F05A4DB0"/>
    <w:lvl w:ilvl="0" w:tplc="BE460E86">
      <w:start w:val="2"/>
      <w:numFmt w:val="decimal"/>
      <w:lvlText w:val="%1."/>
      <w:lvlJc w:val="left"/>
      <w:pPr>
        <w:ind w:left="1890" w:hanging="36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1943483C"/>
    <w:multiLevelType w:val="hybridMultilevel"/>
    <w:tmpl w:val="E200D7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C180275"/>
    <w:multiLevelType w:val="hybridMultilevel"/>
    <w:tmpl w:val="F44A46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1DE6FEB"/>
    <w:multiLevelType w:val="hybridMultilevel"/>
    <w:tmpl w:val="CD829F6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5" w15:restartNumberingAfterBreak="0">
    <w:nsid w:val="22706B58"/>
    <w:multiLevelType w:val="hybridMultilevel"/>
    <w:tmpl w:val="0702537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CC7B65"/>
    <w:multiLevelType w:val="hybridMultilevel"/>
    <w:tmpl w:val="2D2C57CE"/>
    <w:lvl w:ilvl="0" w:tplc="E6222F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9A3B02"/>
    <w:multiLevelType w:val="hybridMultilevel"/>
    <w:tmpl w:val="912CB2F2"/>
    <w:lvl w:ilvl="0" w:tplc="5554E7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84647B6"/>
    <w:multiLevelType w:val="hybridMultilevel"/>
    <w:tmpl w:val="180247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28782C3B"/>
    <w:multiLevelType w:val="hybridMultilevel"/>
    <w:tmpl w:val="C0F2A55E"/>
    <w:lvl w:ilvl="0" w:tplc="11646E08">
      <w:start w:val="1"/>
      <w:numFmt w:val="upperLetter"/>
      <w:lvlText w:val="%1."/>
      <w:lvlJc w:val="left"/>
      <w:pPr>
        <w:ind w:left="1140" w:hanging="4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9F1497"/>
    <w:multiLevelType w:val="hybridMultilevel"/>
    <w:tmpl w:val="C78A832E"/>
    <w:lvl w:ilvl="0" w:tplc="AD7AC45E">
      <w:start w:val="9"/>
      <w:numFmt w:val="lowerLetter"/>
      <w:lvlText w:val="%1)"/>
      <w:lvlJc w:val="left"/>
      <w:pPr>
        <w:ind w:left="2160" w:hanging="360"/>
      </w:pPr>
      <w:rPr>
        <w:rFonts w:hint="default"/>
        <w:i w:val="0"/>
        <w:sz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9B66682"/>
    <w:multiLevelType w:val="hybridMultilevel"/>
    <w:tmpl w:val="A6C8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AD1A91"/>
    <w:multiLevelType w:val="hybridMultilevel"/>
    <w:tmpl w:val="F500B124"/>
    <w:lvl w:ilvl="0" w:tplc="75FCDE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7B339C"/>
    <w:multiLevelType w:val="hybridMultilevel"/>
    <w:tmpl w:val="64FC75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FA02388"/>
    <w:multiLevelType w:val="hybridMultilevel"/>
    <w:tmpl w:val="BC7A16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6538DC"/>
    <w:multiLevelType w:val="hybridMultilevel"/>
    <w:tmpl w:val="16A2C6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3BF3338"/>
    <w:multiLevelType w:val="hybridMultilevel"/>
    <w:tmpl w:val="36D27D1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7025189"/>
    <w:multiLevelType w:val="hybridMultilevel"/>
    <w:tmpl w:val="F918A082"/>
    <w:lvl w:ilvl="0" w:tplc="04090001">
      <w:start w:val="1"/>
      <w:numFmt w:val="bullet"/>
      <w:lvlText w:val=""/>
      <w:lvlJc w:val="left"/>
      <w:pPr>
        <w:tabs>
          <w:tab w:val="num" w:pos="2520"/>
        </w:tabs>
        <w:ind w:left="25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A221EE"/>
    <w:multiLevelType w:val="hybridMultilevel"/>
    <w:tmpl w:val="DEBA24FA"/>
    <w:lvl w:ilvl="0" w:tplc="68C49410">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546022B7"/>
    <w:multiLevelType w:val="hybridMultilevel"/>
    <w:tmpl w:val="FA46D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57530D0"/>
    <w:multiLevelType w:val="hybridMultilevel"/>
    <w:tmpl w:val="4E28B71C"/>
    <w:lvl w:ilvl="0" w:tplc="0409000F">
      <w:start w:val="1"/>
      <w:numFmt w:val="decimal"/>
      <w:lvlText w:val="%1."/>
      <w:lvlJc w:val="left"/>
      <w:pPr>
        <w:ind w:left="1440" w:hanging="360"/>
      </w:pPr>
      <w:rPr>
        <w:rFonts w:hint="default"/>
      </w:rPr>
    </w:lvl>
    <w:lvl w:ilvl="1" w:tplc="04090019">
      <w:start w:val="1"/>
      <w:numFmt w:val="lowerLetter"/>
      <w:lvlText w:val="%2."/>
      <w:lvlJc w:val="left"/>
      <w:pPr>
        <w:ind w:left="441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EE430D"/>
    <w:multiLevelType w:val="hybridMultilevel"/>
    <w:tmpl w:val="03E4AB66"/>
    <w:lvl w:ilvl="0" w:tplc="484E2EE0">
      <w:start w:val="3"/>
      <w:numFmt w:val="decimal"/>
      <w:lvlText w:val="%1."/>
      <w:lvlJc w:val="left"/>
      <w:pPr>
        <w:ind w:left="1260" w:hanging="360"/>
      </w:pPr>
      <w:rPr>
        <w:rFonts w:hint="default"/>
        <w:sz w:val="24"/>
        <w:szCs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2" w15:restartNumberingAfterBreak="0">
    <w:nsid w:val="5C8A61F2"/>
    <w:multiLevelType w:val="hybridMultilevel"/>
    <w:tmpl w:val="215E7756"/>
    <w:lvl w:ilvl="0" w:tplc="629A1EFC">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F865D13"/>
    <w:multiLevelType w:val="hybridMultilevel"/>
    <w:tmpl w:val="E240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C8339A"/>
    <w:multiLevelType w:val="hybridMultilevel"/>
    <w:tmpl w:val="95C6583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5" w15:restartNumberingAfterBreak="0">
    <w:nsid w:val="613C12C1"/>
    <w:multiLevelType w:val="hybridMultilevel"/>
    <w:tmpl w:val="757A6A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B60DFC"/>
    <w:multiLevelType w:val="hybridMultilevel"/>
    <w:tmpl w:val="35B6063E"/>
    <w:lvl w:ilvl="0" w:tplc="B8E828F0">
      <w:start w:val="1"/>
      <w:numFmt w:val="lowerLetter"/>
      <w:lvlText w:val="%1)"/>
      <w:lvlJc w:val="left"/>
      <w:pPr>
        <w:tabs>
          <w:tab w:val="num" w:pos="1800"/>
        </w:tabs>
        <w:ind w:left="1800" w:hanging="360"/>
      </w:pPr>
      <w:rPr>
        <w:rFonts w:ascii="Times New Roman" w:eastAsia="Times New Roman" w:hAnsi="Times New Roman" w:cs="Times New Roman"/>
        <w:u w:val="none"/>
      </w:rPr>
    </w:lvl>
    <w:lvl w:ilvl="1" w:tplc="1A6C072E">
      <w:start w:val="1"/>
      <w:numFmt w:val="lowerLetter"/>
      <w:lvlText w:val="%2)"/>
      <w:lvlJc w:val="left"/>
      <w:pPr>
        <w:tabs>
          <w:tab w:val="num" w:pos="2520"/>
        </w:tabs>
        <w:ind w:left="2520" w:hanging="360"/>
      </w:pPr>
      <w:rPr>
        <w:rFonts w:hint="default"/>
        <w:u w:val="none"/>
      </w:rPr>
    </w:lvl>
    <w:lvl w:ilvl="2" w:tplc="55BEE852">
      <w:start w:val="1"/>
      <w:numFmt w:val="decimal"/>
      <w:lvlText w:val="%3."/>
      <w:lvlJc w:val="left"/>
      <w:pPr>
        <w:tabs>
          <w:tab w:val="num" w:pos="3240"/>
        </w:tabs>
        <w:ind w:left="3240" w:hanging="360"/>
      </w:pPr>
      <w:rPr>
        <w:rFonts w:hint="default"/>
        <w:b/>
        <w:u w:val="none"/>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4BDA50C2">
      <w:start w:val="1"/>
      <w:numFmt w:val="upperLetter"/>
      <w:lvlText w:val="%6."/>
      <w:lvlJc w:val="left"/>
      <w:pPr>
        <w:ind w:left="5400" w:hanging="360"/>
      </w:pPr>
      <w:rPr>
        <w:rFont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7487DF8"/>
    <w:multiLevelType w:val="hybridMultilevel"/>
    <w:tmpl w:val="F7EA6ACE"/>
    <w:lvl w:ilvl="0" w:tplc="FC8E6512">
      <w:start w:val="1"/>
      <w:numFmt w:val="lowerLetter"/>
      <w:lvlText w:val="%1)"/>
      <w:lvlJc w:val="left"/>
      <w:pPr>
        <w:ind w:left="2700" w:hanging="360"/>
      </w:pPr>
      <w:rPr>
        <w:rFonts w:hint="default"/>
        <w:i w:val="0"/>
        <w:sz w:val="24"/>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 w15:restartNumberingAfterBreak="0">
    <w:nsid w:val="693862F5"/>
    <w:multiLevelType w:val="hybridMultilevel"/>
    <w:tmpl w:val="1F988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0512DAA"/>
    <w:multiLevelType w:val="hybridMultilevel"/>
    <w:tmpl w:val="E0165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084E0A"/>
    <w:multiLevelType w:val="hybridMultilevel"/>
    <w:tmpl w:val="181C3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5D3016"/>
    <w:multiLevelType w:val="hybridMultilevel"/>
    <w:tmpl w:val="FF0ACCB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6EF6E74"/>
    <w:multiLevelType w:val="hybridMultilevel"/>
    <w:tmpl w:val="80026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D0477C"/>
    <w:multiLevelType w:val="hybridMultilevel"/>
    <w:tmpl w:val="7B422DA8"/>
    <w:lvl w:ilvl="0" w:tplc="F26E15FA">
      <w:start w:val="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F96E40"/>
    <w:multiLevelType w:val="hybridMultilevel"/>
    <w:tmpl w:val="0DEECC18"/>
    <w:lvl w:ilvl="0" w:tplc="CA547BA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A9E5056"/>
    <w:multiLevelType w:val="hybridMultilevel"/>
    <w:tmpl w:val="44027732"/>
    <w:lvl w:ilvl="0" w:tplc="359022E4">
      <w:start w:val="1"/>
      <w:numFmt w:val="decimal"/>
      <w:lvlText w:val="%1."/>
      <w:lvlJc w:val="left"/>
      <w:pPr>
        <w:ind w:left="1890" w:hanging="360"/>
      </w:pPr>
      <w:rPr>
        <w:rFonts w:hint="default"/>
        <w:sz w:val="24"/>
        <w:szCs w:val="24"/>
      </w:rPr>
    </w:lvl>
    <w:lvl w:ilvl="1" w:tplc="D946D71C">
      <w:start w:val="1"/>
      <w:numFmt w:val="lowerLetter"/>
      <w:lvlText w:val="%2)"/>
      <w:lvlJc w:val="left"/>
      <w:pPr>
        <w:ind w:left="2610" w:hanging="360"/>
      </w:pPr>
      <w:rPr>
        <w:rFonts w:ascii="Times New Roman" w:eastAsia="Times New Roman" w:hAnsi="Times New Roman" w:cs="Times New Roman"/>
      </w:rPr>
    </w:lvl>
    <w:lvl w:ilvl="2" w:tplc="32A8B3FC">
      <w:start w:val="1"/>
      <w:numFmt w:val="decimal"/>
      <w:lvlText w:val="%3."/>
      <w:lvlJc w:val="left"/>
      <w:pPr>
        <w:ind w:left="3510" w:hanging="360"/>
      </w:pPr>
      <w:rPr>
        <w:rFonts w:hint="default"/>
        <w:b/>
        <w:i w:val="0"/>
        <w:sz w:val="24"/>
        <w:szCs w:val="24"/>
        <w:u w:val="none"/>
      </w:r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 w15:restartNumberingAfterBreak="0">
    <w:nsid w:val="7B49622F"/>
    <w:multiLevelType w:val="hybridMultilevel"/>
    <w:tmpl w:val="161EE5C6"/>
    <w:lvl w:ilvl="0" w:tplc="4A50670E">
      <w:start w:val="1"/>
      <w:numFmt w:val="lowerLetter"/>
      <w:lvlText w:val="%1)"/>
      <w:lvlJc w:val="left"/>
      <w:pPr>
        <w:ind w:left="252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F56573A"/>
    <w:multiLevelType w:val="hybridMultilevel"/>
    <w:tmpl w:val="091CF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36"/>
  </w:num>
  <w:num w:numId="3">
    <w:abstractNumId w:val="26"/>
  </w:num>
  <w:num w:numId="4">
    <w:abstractNumId w:val="15"/>
  </w:num>
  <w:num w:numId="5">
    <w:abstractNumId w:val="22"/>
  </w:num>
  <w:num w:numId="6">
    <w:abstractNumId w:val="27"/>
  </w:num>
  <w:num w:numId="7">
    <w:abstractNumId w:val="12"/>
  </w:num>
  <w:num w:numId="8">
    <w:abstractNumId w:val="33"/>
  </w:num>
  <w:num w:numId="9">
    <w:abstractNumId w:val="25"/>
  </w:num>
  <w:num w:numId="10">
    <w:abstractNumId w:val="24"/>
  </w:num>
  <w:num w:numId="11">
    <w:abstractNumId w:val="29"/>
  </w:num>
  <w:num w:numId="12">
    <w:abstractNumId w:val="35"/>
  </w:num>
  <w:num w:numId="13">
    <w:abstractNumId w:val="38"/>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num>
  <w:num w:numId="21">
    <w:abstractNumId w:val="43"/>
  </w:num>
  <w:num w:numId="22">
    <w:abstractNumId w:val="3"/>
  </w:num>
  <w:num w:numId="23">
    <w:abstractNumId w:val="11"/>
  </w:num>
  <w:num w:numId="24">
    <w:abstractNumId w:val="41"/>
  </w:num>
  <w:num w:numId="25">
    <w:abstractNumId w:val="23"/>
  </w:num>
  <w:num w:numId="26">
    <w:abstractNumId w:val="7"/>
  </w:num>
  <w:num w:numId="27">
    <w:abstractNumId w:val="17"/>
  </w:num>
  <w:num w:numId="28">
    <w:abstractNumId w:val="46"/>
  </w:num>
  <w:num w:numId="29">
    <w:abstractNumId w:val="44"/>
  </w:num>
  <w:num w:numId="30">
    <w:abstractNumId w:val="4"/>
  </w:num>
  <w:num w:numId="31">
    <w:abstractNumId w:val="30"/>
  </w:num>
  <w:num w:numId="32">
    <w:abstractNumId w:val="1"/>
  </w:num>
  <w:num w:numId="33">
    <w:abstractNumId w:val="9"/>
  </w:num>
  <w:num w:numId="34">
    <w:abstractNumId w:val="5"/>
  </w:num>
  <w:num w:numId="35">
    <w:abstractNumId w:val="32"/>
  </w:num>
  <w:num w:numId="36">
    <w:abstractNumId w:val="0"/>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20"/>
  </w:num>
  <w:num w:numId="38">
    <w:abstractNumId w:val="37"/>
  </w:num>
  <w:num w:numId="39">
    <w:abstractNumId w:val="28"/>
  </w:num>
  <w:num w:numId="40">
    <w:abstractNumId w:val="16"/>
  </w:num>
  <w:num w:numId="41">
    <w:abstractNumId w:val="31"/>
  </w:num>
  <w:num w:numId="42">
    <w:abstractNumId w:val="2"/>
  </w:num>
  <w:num w:numId="43">
    <w:abstractNumId w:val="42"/>
  </w:num>
  <w:num w:numId="44">
    <w:abstractNumId w:val="19"/>
  </w:num>
  <w:num w:numId="45">
    <w:abstractNumId w:val="47"/>
  </w:num>
  <w:num w:numId="46">
    <w:abstractNumId w:val="8"/>
  </w:num>
  <w:num w:numId="47">
    <w:abstractNumId w:val="39"/>
  </w:num>
  <w:num w:numId="48">
    <w:abstractNumId w:val="40"/>
  </w:num>
  <w:num w:numId="49">
    <w:abstractNumId w:val="13"/>
  </w:num>
  <w:num w:numId="50">
    <w:abstractNumId w:val="34"/>
  </w:num>
  <w:num w:numId="51">
    <w:abstractNumId w:val="14"/>
  </w:num>
  <w:num w:numId="52">
    <w:abstractNumId w:val="21"/>
  </w:num>
  <w:num w:numId="53">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forms" w:enforcement="1" w:cryptProviderType="rsaAES" w:cryptAlgorithmClass="hash" w:cryptAlgorithmType="typeAny" w:cryptAlgorithmSid="14" w:cryptSpinCount="100000" w:hash="PEAsAkqY8nJXflAG13YfhYeJosrvZwqY0sSTs0kP2resyY840Lsp7IsA6DBMiYfj/DVpFG9iM7Qh9bADM1Bc7w==" w:salt="z8MFZBD6xNNXm6ckBuyGs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6394"/>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0B"/>
    <w:rsid w:val="00000898"/>
    <w:rsid w:val="00000A3D"/>
    <w:rsid w:val="00001CF5"/>
    <w:rsid w:val="00004392"/>
    <w:rsid w:val="00010450"/>
    <w:rsid w:val="00011EA9"/>
    <w:rsid w:val="00012E42"/>
    <w:rsid w:val="00014CF5"/>
    <w:rsid w:val="00015150"/>
    <w:rsid w:val="00017A9F"/>
    <w:rsid w:val="00017F0B"/>
    <w:rsid w:val="00020B4A"/>
    <w:rsid w:val="000256F4"/>
    <w:rsid w:val="0002733C"/>
    <w:rsid w:val="00027884"/>
    <w:rsid w:val="00032593"/>
    <w:rsid w:val="000328A6"/>
    <w:rsid w:val="00034A4D"/>
    <w:rsid w:val="0003611E"/>
    <w:rsid w:val="00036150"/>
    <w:rsid w:val="000370F6"/>
    <w:rsid w:val="000376B0"/>
    <w:rsid w:val="00037972"/>
    <w:rsid w:val="00040D0A"/>
    <w:rsid w:val="00042418"/>
    <w:rsid w:val="00045B41"/>
    <w:rsid w:val="00045D19"/>
    <w:rsid w:val="00045D91"/>
    <w:rsid w:val="00046055"/>
    <w:rsid w:val="000506F5"/>
    <w:rsid w:val="0005757B"/>
    <w:rsid w:val="0006162B"/>
    <w:rsid w:val="00062C9B"/>
    <w:rsid w:val="00065C76"/>
    <w:rsid w:val="000679CB"/>
    <w:rsid w:val="00070A54"/>
    <w:rsid w:val="00070B83"/>
    <w:rsid w:val="00071654"/>
    <w:rsid w:val="00072179"/>
    <w:rsid w:val="00073919"/>
    <w:rsid w:val="00076B39"/>
    <w:rsid w:val="000835B9"/>
    <w:rsid w:val="00086526"/>
    <w:rsid w:val="000866C8"/>
    <w:rsid w:val="00086890"/>
    <w:rsid w:val="000917F3"/>
    <w:rsid w:val="00096DE0"/>
    <w:rsid w:val="00097A08"/>
    <w:rsid w:val="000A1807"/>
    <w:rsid w:val="000A1FD2"/>
    <w:rsid w:val="000A2CB7"/>
    <w:rsid w:val="000A2D09"/>
    <w:rsid w:val="000A521F"/>
    <w:rsid w:val="000A6B26"/>
    <w:rsid w:val="000A7F3D"/>
    <w:rsid w:val="000B5093"/>
    <w:rsid w:val="000C38E5"/>
    <w:rsid w:val="000C5016"/>
    <w:rsid w:val="000C6351"/>
    <w:rsid w:val="000D5656"/>
    <w:rsid w:val="000D5EE4"/>
    <w:rsid w:val="000D7002"/>
    <w:rsid w:val="000E15AE"/>
    <w:rsid w:val="000E291C"/>
    <w:rsid w:val="000E4347"/>
    <w:rsid w:val="000E48B0"/>
    <w:rsid w:val="000F22EB"/>
    <w:rsid w:val="000F2433"/>
    <w:rsid w:val="000F398E"/>
    <w:rsid w:val="000F63A2"/>
    <w:rsid w:val="000F6A8D"/>
    <w:rsid w:val="001006CC"/>
    <w:rsid w:val="00102DB2"/>
    <w:rsid w:val="00107645"/>
    <w:rsid w:val="001101F9"/>
    <w:rsid w:val="0011087A"/>
    <w:rsid w:val="001123D9"/>
    <w:rsid w:val="00114EBE"/>
    <w:rsid w:val="00116E1B"/>
    <w:rsid w:val="0012062A"/>
    <w:rsid w:val="001244EB"/>
    <w:rsid w:val="00124E34"/>
    <w:rsid w:val="001314D9"/>
    <w:rsid w:val="00132F3E"/>
    <w:rsid w:val="001333A1"/>
    <w:rsid w:val="00135E53"/>
    <w:rsid w:val="00136ED2"/>
    <w:rsid w:val="00140A02"/>
    <w:rsid w:val="001428ED"/>
    <w:rsid w:val="00142A34"/>
    <w:rsid w:val="0015090A"/>
    <w:rsid w:val="00151DE8"/>
    <w:rsid w:val="0015321D"/>
    <w:rsid w:val="00154EB2"/>
    <w:rsid w:val="0015612C"/>
    <w:rsid w:val="00157E74"/>
    <w:rsid w:val="00162803"/>
    <w:rsid w:val="0016298F"/>
    <w:rsid w:val="00163609"/>
    <w:rsid w:val="00163BB3"/>
    <w:rsid w:val="0016749A"/>
    <w:rsid w:val="001679C8"/>
    <w:rsid w:val="001705CA"/>
    <w:rsid w:val="00170C3E"/>
    <w:rsid w:val="00172613"/>
    <w:rsid w:val="00172F07"/>
    <w:rsid w:val="0017315D"/>
    <w:rsid w:val="00174AB7"/>
    <w:rsid w:val="001821FB"/>
    <w:rsid w:val="001835A2"/>
    <w:rsid w:val="00183DC9"/>
    <w:rsid w:val="00183FB6"/>
    <w:rsid w:val="001840B9"/>
    <w:rsid w:val="00191C26"/>
    <w:rsid w:val="001940FF"/>
    <w:rsid w:val="00194801"/>
    <w:rsid w:val="00194B39"/>
    <w:rsid w:val="00195A1B"/>
    <w:rsid w:val="00195F9B"/>
    <w:rsid w:val="00196DC3"/>
    <w:rsid w:val="001A02EF"/>
    <w:rsid w:val="001A21F5"/>
    <w:rsid w:val="001A2DC3"/>
    <w:rsid w:val="001A4790"/>
    <w:rsid w:val="001A570D"/>
    <w:rsid w:val="001A6341"/>
    <w:rsid w:val="001A66AB"/>
    <w:rsid w:val="001A712B"/>
    <w:rsid w:val="001B02F2"/>
    <w:rsid w:val="001B25A2"/>
    <w:rsid w:val="001B7233"/>
    <w:rsid w:val="001B73BB"/>
    <w:rsid w:val="001C0118"/>
    <w:rsid w:val="001C14BC"/>
    <w:rsid w:val="001D3680"/>
    <w:rsid w:val="001D4A45"/>
    <w:rsid w:val="001D4FFA"/>
    <w:rsid w:val="001E072A"/>
    <w:rsid w:val="001E2D52"/>
    <w:rsid w:val="001E3D6A"/>
    <w:rsid w:val="001E4A91"/>
    <w:rsid w:val="001E676A"/>
    <w:rsid w:val="001E7D5C"/>
    <w:rsid w:val="001F0F17"/>
    <w:rsid w:val="001F3AC9"/>
    <w:rsid w:val="001F4090"/>
    <w:rsid w:val="001F5154"/>
    <w:rsid w:val="001F5762"/>
    <w:rsid w:val="001F57BF"/>
    <w:rsid w:val="001F7F32"/>
    <w:rsid w:val="00201B58"/>
    <w:rsid w:val="0020223B"/>
    <w:rsid w:val="0020367B"/>
    <w:rsid w:val="002041F5"/>
    <w:rsid w:val="00205278"/>
    <w:rsid w:val="00205B9A"/>
    <w:rsid w:val="00206288"/>
    <w:rsid w:val="00207DA9"/>
    <w:rsid w:val="00212DD0"/>
    <w:rsid w:val="002168D3"/>
    <w:rsid w:val="0021704F"/>
    <w:rsid w:val="0021751A"/>
    <w:rsid w:val="002232AE"/>
    <w:rsid w:val="00223ABD"/>
    <w:rsid w:val="00227A00"/>
    <w:rsid w:val="00227F1D"/>
    <w:rsid w:val="00230F96"/>
    <w:rsid w:val="00232406"/>
    <w:rsid w:val="00232AD2"/>
    <w:rsid w:val="00233B9C"/>
    <w:rsid w:val="0023412B"/>
    <w:rsid w:val="00234225"/>
    <w:rsid w:val="0024036E"/>
    <w:rsid w:val="002416C0"/>
    <w:rsid w:val="002439C1"/>
    <w:rsid w:val="00245380"/>
    <w:rsid w:val="00245826"/>
    <w:rsid w:val="00245BAE"/>
    <w:rsid w:val="002463CF"/>
    <w:rsid w:val="002479B1"/>
    <w:rsid w:val="002521FB"/>
    <w:rsid w:val="00252C25"/>
    <w:rsid w:val="0025334E"/>
    <w:rsid w:val="00255AA6"/>
    <w:rsid w:val="00255AF4"/>
    <w:rsid w:val="00256A04"/>
    <w:rsid w:val="002571DC"/>
    <w:rsid w:val="002637DA"/>
    <w:rsid w:val="00265C8D"/>
    <w:rsid w:val="00266CD5"/>
    <w:rsid w:val="00271700"/>
    <w:rsid w:val="002769DB"/>
    <w:rsid w:val="00276A7C"/>
    <w:rsid w:val="00277BFA"/>
    <w:rsid w:val="00277E04"/>
    <w:rsid w:val="00280F4B"/>
    <w:rsid w:val="00281D33"/>
    <w:rsid w:val="00282065"/>
    <w:rsid w:val="00282D80"/>
    <w:rsid w:val="002859D0"/>
    <w:rsid w:val="00287FD5"/>
    <w:rsid w:val="00294078"/>
    <w:rsid w:val="00295D10"/>
    <w:rsid w:val="0029612C"/>
    <w:rsid w:val="002969D8"/>
    <w:rsid w:val="002A0A2B"/>
    <w:rsid w:val="002A1041"/>
    <w:rsid w:val="002A7947"/>
    <w:rsid w:val="002B5877"/>
    <w:rsid w:val="002B758B"/>
    <w:rsid w:val="002C0304"/>
    <w:rsid w:val="002C10AE"/>
    <w:rsid w:val="002C2653"/>
    <w:rsid w:val="002C321D"/>
    <w:rsid w:val="002C3844"/>
    <w:rsid w:val="002D3340"/>
    <w:rsid w:val="002D703B"/>
    <w:rsid w:val="002D7356"/>
    <w:rsid w:val="002E27C0"/>
    <w:rsid w:val="002E4057"/>
    <w:rsid w:val="002E605E"/>
    <w:rsid w:val="002F13EA"/>
    <w:rsid w:val="002F611B"/>
    <w:rsid w:val="0030061F"/>
    <w:rsid w:val="00301ADB"/>
    <w:rsid w:val="00304386"/>
    <w:rsid w:val="00304CD7"/>
    <w:rsid w:val="00304D49"/>
    <w:rsid w:val="00304EB1"/>
    <w:rsid w:val="00305AFB"/>
    <w:rsid w:val="0030633A"/>
    <w:rsid w:val="0031171A"/>
    <w:rsid w:val="003126AD"/>
    <w:rsid w:val="00313EFD"/>
    <w:rsid w:val="0031503F"/>
    <w:rsid w:val="00315B12"/>
    <w:rsid w:val="00315B80"/>
    <w:rsid w:val="003229F2"/>
    <w:rsid w:val="00323D69"/>
    <w:rsid w:val="00326B99"/>
    <w:rsid w:val="00327486"/>
    <w:rsid w:val="0033030D"/>
    <w:rsid w:val="00330878"/>
    <w:rsid w:val="00331241"/>
    <w:rsid w:val="003316DE"/>
    <w:rsid w:val="00332C54"/>
    <w:rsid w:val="00341A2E"/>
    <w:rsid w:val="00344640"/>
    <w:rsid w:val="00347B40"/>
    <w:rsid w:val="00347C90"/>
    <w:rsid w:val="00350384"/>
    <w:rsid w:val="0035218A"/>
    <w:rsid w:val="003542E0"/>
    <w:rsid w:val="003564EB"/>
    <w:rsid w:val="00362342"/>
    <w:rsid w:val="003626F1"/>
    <w:rsid w:val="00363658"/>
    <w:rsid w:val="0036592B"/>
    <w:rsid w:val="00381144"/>
    <w:rsid w:val="00381515"/>
    <w:rsid w:val="00381BD3"/>
    <w:rsid w:val="0038563C"/>
    <w:rsid w:val="003858E9"/>
    <w:rsid w:val="00390263"/>
    <w:rsid w:val="00392109"/>
    <w:rsid w:val="00392851"/>
    <w:rsid w:val="00393021"/>
    <w:rsid w:val="00394DB5"/>
    <w:rsid w:val="00395A1F"/>
    <w:rsid w:val="00395F1D"/>
    <w:rsid w:val="003A182D"/>
    <w:rsid w:val="003A466E"/>
    <w:rsid w:val="003A488A"/>
    <w:rsid w:val="003A5053"/>
    <w:rsid w:val="003A713E"/>
    <w:rsid w:val="003B0BD9"/>
    <w:rsid w:val="003B2578"/>
    <w:rsid w:val="003B2851"/>
    <w:rsid w:val="003C0231"/>
    <w:rsid w:val="003C0B22"/>
    <w:rsid w:val="003C0E0A"/>
    <w:rsid w:val="003C6F29"/>
    <w:rsid w:val="003C6FA2"/>
    <w:rsid w:val="003C74A8"/>
    <w:rsid w:val="003D03CF"/>
    <w:rsid w:val="003D24C4"/>
    <w:rsid w:val="003D287F"/>
    <w:rsid w:val="003D45D9"/>
    <w:rsid w:val="003D49B2"/>
    <w:rsid w:val="003E0AE1"/>
    <w:rsid w:val="003E1F8D"/>
    <w:rsid w:val="003E3A5E"/>
    <w:rsid w:val="003E45C4"/>
    <w:rsid w:val="003E5F14"/>
    <w:rsid w:val="003E6DC8"/>
    <w:rsid w:val="003E75A4"/>
    <w:rsid w:val="003F087E"/>
    <w:rsid w:val="003F41F0"/>
    <w:rsid w:val="003F4BC0"/>
    <w:rsid w:val="003F50B2"/>
    <w:rsid w:val="003F54F4"/>
    <w:rsid w:val="003F5B90"/>
    <w:rsid w:val="003F6AEE"/>
    <w:rsid w:val="003F6BC9"/>
    <w:rsid w:val="0040367E"/>
    <w:rsid w:val="00405D72"/>
    <w:rsid w:val="00410467"/>
    <w:rsid w:val="0041211C"/>
    <w:rsid w:val="0041261E"/>
    <w:rsid w:val="00412E21"/>
    <w:rsid w:val="0041531F"/>
    <w:rsid w:val="00420143"/>
    <w:rsid w:val="00422A19"/>
    <w:rsid w:val="00423BA2"/>
    <w:rsid w:val="00426E8D"/>
    <w:rsid w:val="00430904"/>
    <w:rsid w:val="00433487"/>
    <w:rsid w:val="004337D3"/>
    <w:rsid w:val="004352C2"/>
    <w:rsid w:val="004361F9"/>
    <w:rsid w:val="004401BF"/>
    <w:rsid w:val="004439EA"/>
    <w:rsid w:val="00444349"/>
    <w:rsid w:val="00445CA4"/>
    <w:rsid w:val="0045173B"/>
    <w:rsid w:val="0045203F"/>
    <w:rsid w:val="00453E65"/>
    <w:rsid w:val="00455703"/>
    <w:rsid w:val="004609B4"/>
    <w:rsid w:val="00460D50"/>
    <w:rsid w:val="00462AD6"/>
    <w:rsid w:val="004633E6"/>
    <w:rsid w:val="00466ACA"/>
    <w:rsid w:val="004704F7"/>
    <w:rsid w:val="00470C48"/>
    <w:rsid w:val="00473E29"/>
    <w:rsid w:val="00473FDA"/>
    <w:rsid w:val="00475907"/>
    <w:rsid w:val="00476BCE"/>
    <w:rsid w:val="004930F9"/>
    <w:rsid w:val="00494722"/>
    <w:rsid w:val="00494DE8"/>
    <w:rsid w:val="00496399"/>
    <w:rsid w:val="00497547"/>
    <w:rsid w:val="004977B4"/>
    <w:rsid w:val="004A0BF6"/>
    <w:rsid w:val="004A56A5"/>
    <w:rsid w:val="004B133D"/>
    <w:rsid w:val="004B3237"/>
    <w:rsid w:val="004B58E8"/>
    <w:rsid w:val="004B5A80"/>
    <w:rsid w:val="004B6C72"/>
    <w:rsid w:val="004C2DD3"/>
    <w:rsid w:val="004C3C2A"/>
    <w:rsid w:val="004C4093"/>
    <w:rsid w:val="004C5E03"/>
    <w:rsid w:val="004C66BE"/>
    <w:rsid w:val="004C68BE"/>
    <w:rsid w:val="004C7835"/>
    <w:rsid w:val="004D7CE5"/>
    <w:rsid w:val="004E4019"/>
    <w:rsid w:val="004E42C8"/>
    <w:rsid w:val="004E7A02"/>
    <w:rsid w:val="004F267E"/>
    <w:rsid w:val="004F2BEB"/>
    <w:rsid w:val="004F55BB"/>
    <w:rsid w:val="004F6F60"/>
    <w:rsid w:val="00501733"/>
    <w:rsid w:val="00501D19"/>
    <w:rsid w:val="00502F31"/>
    <w:rsid w:val="00504DE0"/>
    <w:rsid w:val="00505009"/>
    <w:rsid w:val="00505EC3"/>
    <w:rsid w:val="005100E9"/>
    <w:rsid w:val="00513E75"/>
    <w:rsid w:val="00516E4A"/>
    <w:rsid w:val="0051714B"/>
    <w:rsid w:val="005202EE"/>
    <w:rsid w:val="00520458"/>
    <w:rsid w:val="00521517"/>
    <w:rsid w:val="0052151E"/>
    <w:rsid w:val="005324B9"/>
    <w:rsid w:val="00532A67"/>
    <w:rsid w:val="00532FB8"/>
    <w:rsid w:val="0053396B"/>
    <w:rsid w:val="005345A5"/>
    <w:rsid w:val="00537963"/>
    <w:rsid w:val="00541265"/>
    <w:rsid w:val="00542B15"/>
    <w:rsid w:val="00543FAF"/>
    <w:rsid w:val="00545FD1"/>
    <w:rsid w:val="00551EAE"/>
    <w:rsid w:val="00554EC7"/>
    <w:rsid w:val="00556435"/>
    <w:rsid w:val="00557294"/>
    <w:rsid w:val="005577FE"/>
    <w:rsid w:val="00563247"/>
    <w:rsid w:val="00566B06"/>
    <w:rsid w:val="00567289"/>
    <w:rsid w:val="005676F8"/>
    <w:rsid w:val="005714E6"/>
    <w:rsid w:val="00575C6D"/>
    <w:rsid w:val="005771CF"/>
    <w:rsid w:val="00577C74"/>
    <w:rsid w:val="0058557C"/>
    <w:rsid w:val="00590E2A"/>
    <w:rsid w:val="005928B9"/>
    <w:rsid w:val="00593796"/>
    <w:rsid w:val="0059384A"/>
    <w:rsid w:val="00594F39"/>
    <w:rsid w:val="00595140"/>
    <w:rsid w:val="00595AE6"/>
    <w:rsid w:val="00595B4E"/>
    <w:rsid w:val="00596961"/>
    <w:rsid w:val="00597EF9"/>
    <w:rsid w:val="005A1863"/>
    <w:rsid w:val="005A1CEF"/>
    <w:rsid w:val="005A4DEC"/>
    <w:rsid w:val="005A5529"/>
    <w:rsid w:val="005A6372"/>
    <w:rsid w:val="005A662E"/>
    <w:rsid w:val="005A7E04"/>
    <w:rsid w:val="005B52A6"/>
    <w:rsid w:val="005B582B"/>
    <w:rsid w:val="005B5B34"/>
    <w:rsid w:val="005B6DCB"/>
    <w:rsid w:val="005B75E9"/>
    <w:rsid w:val="005C3576"/>
    <w:rsid w:val="005C3AE7"/>
    <w:rsid w:val="005C5195"/>
    <w:rsid w:val="005D0631"/>
    <w:rsid w:val="005D0A91"/>
    <w:rsid w:val="005D1A07"/>
    <w:rsid w:val="005D2E39"/>
    <w:rsid w:val="005D6D52"/>
    <w:rsid w:val="005D6FD9"/>
    <w:rsid w:val="005E275B"/>
    <w:rsid w:val="005E5072"/>
    <w:rsid w:val="005E6DBB"/>
    <w:rsid w:val="005E79B2"/>
    <w:rsid w:val="005F0DCE"/>
    <w:rsid w:val="005F37D5"/>
    <w:rsid w:val="005F56FA"/>
    <w:rsid w:val="005F5E9F"/>
    <w:rsid w:val="00601930"/>
    <w:rsid w:val="00604308"/>
    <w:rsid w:val="0060460A"/>
    <w:rsid w:val="00607375"/>
    <w:rsid w:val="00610846"/>
    <w:rsid w:val="00612208"/>
    <w:rsid w:val="00612618"/>
    <w:rsid w:val="00612654"/>
    <w:rsid w:val="00612DD0"/>
    <w:rsid w:val="006133CE"/>
    <w:rsid w:val="00614743"/>
    <w:rsid w:val="00614C5A"/>
    <w:rsid w:val="00615721"/>
    <w:rsid w:val="00625690"/>
    <w:rsid w:val="006277E0"/>
    <w:rsid w:val="00630965"/>
    <w:rsid w:val="0063125D"/>
    <w:rsid w:val="00632E62"/>
    <w:rsid w:val="006349E0"/>
    <w:rsid w:val="006412C0"/>
    <w:rsid w:val="0064225C"/>
    <w:rsid w:val="00642C00"/>
    <w:rsid w:val="006438D3"/>
    <w:rsid w:val="0064593A"/>
    <w:rsid w:val="006475E3"/>
    <w:rsid w:val="006478CC"/>
    <w:rsid w:val="00650574"/>
    <w:rsid w:val="00651611"/>
    <w:rsid w:val="00654467"/>
    <w:rsid w:val="006549FB"/>
    <w:rsid w:val="0065558F"/>
    <w:rsid w:val="006557B5"/>
    <w:rsid w:val="006575C1"/>
    <w:rsid w:val="00660291"/>
    <w:rsid w:val="00662AA0"/>
    <w:rsid w:val="00664D63"/>
    <w:rsid w:val="006655AD"/>
    <w:rsid w:val="00665605"/>
    <w:rsid w:val="00665639"/>
    <w:rsid w:val="006708DB"/>
    <w:rsid w:val="00672C44"/>
    <w:rsid w:val="00675E1D"/>
    <w:rsid w:val="00676024"/>
    <w:rsid w:val="0068147E"/>
    <w:rsid w:val="0068770A"/>
    <w:rsid w:val="006907F9"/>
    <w:rsid w:val="0069304C"/>
    <w:rsid w:val="00693FFA"/>
    <w:rsid w:val="00696ADD"/>
    <w:rsid w:val="006A0584"/>
    <w:rsid w:val="006A2349"/>
    <w:rsid w:val="006A3014"/>
    <w:rsid w:val="006A3BAC"/>
    <w:rsid w:val="006A5D03"/>
    <w:rsid w:val="006A5D80"/>
    <w:rsid w:val="006A5F2E"/>
    <w:rsid w:val="006A75E0"/>
    <w:rsid w:val="006B39C7"/>
    <w:rsid w:val="006B5753"/>
    <w:rsid w:val="006C4603"/>
    <w:rsid w:val="006C47E8"/>
    <w:rsid w:val="006C4C41"/>
    <w:rsid w:val="006C533F"/>
    <w:rsid w:val="006C539B"/>
    <w:rsid w:val="006C63D3"/>
    <w:rsid w:val="006C681C"/>
    <w:rsid w:val="006C7283"/>
    <w:rsid w:val="006C761A"/>
    <w:rsid w:val="006D03BA"/>
    <w:rsid w:val="006D218A"/>
    <w:rsid w:val="006D230A"/>
    <w:rsid w:val="006D2777"/>
    <w:rsid w:val="006D288B"/>
    <w:rsid w:val="006D41B4"/>
    <w:rsid w:val="006D47A4"/>
    <w:rsid w:val="006D6200"/>
    <w:rsid w:val="006E25DF"/>
    <w:rsid w:val="006E3506"/>
    <w:rsid w:val="006E45C5"/>
    <w:rsid w:val="006F16F4"/>
    <w:rsid w:val="006F1CF4"/>
    <w:rsid w:val="006F296D"/>
    <w:rsid w:val="006F4A8A"/>
    <w:rsid w:val="0070356E"/>
    <w:rsid w:val="00704D45"/>
    <w:rsid w:val="00705873"/>
    <w:rsid w:val="007066E3"/>
    <w:rsid w:val="0071047F"/>
    <w:rsid w:val="007128F9"/>
    <w:rsid w:val="0071440E"/>
    <w:rsid w:val="00714DDC"/>
    <w:rsid w:val="00724F3B"/>
    <w:rsid w:val="00726D40"/>
    <w:rsid w:val="00726F7C"/>
    <w:rsid w:val="0073091E"/>
    <w:rsid w:val="00730DC0"/>
    <w:rsid w:val="00731678"/>
    <w:rsid w:val="007325A1"/>
    <w:rsid w:val="00735F75"/>
    <w:rsid w:val="0074089E"/>
    <w:rsid w:val="00740BD3"/>
    <w:rsid w:val="007465FF"/>
    <w:rsid w:val="007532EA"/>
    <w:rsid w:val="00755153"/>
    <w:rsid w:val="00756308"/>
    <w:rsid w:val="007564D9"/>
    <w:rsid w:val="00756FEF"/>
    <w:rsid w:val="00757491"/>
    <w:rsid w:val="0075768E"/>
    <w:rsid w:val="007579F8"/>
    <w:rsid w:val="0076024A"/>
    <w:rsid w:val="0076060A"/>
    <w:rsid w:val="00761645"/>
    <w:rsid w:val="00764ED8"/>
    <w:rsid w:val="00766D34"/>
    <w:rsid w:val="00767741"/>
    <w:rsid w:val="00770060"/>
    <w:rsid w:val="00770FCC"/>
    <w:rsid w:val="0077530C"/>
    <w:rsid w:val="00780439"/>
    <w:rsid w:val="007816EA"/>
    <w:rsid w:val="00781917"/>
    <w:rsid w:val="00781EE2"/>
    <w:rsid w:val="00783235"/>
    <w:rsid w:val="007832D5"/>
    <w:rsid w:val="00790623"/>
    <w:rsid w:val="00791A65"/>
    <w:rsid w:val="0079368B"/>
    <w:rsid w:val="007A35A4"/>
    <w:rsid w:val="007A47FF"/>
    <w:rsid w:val="007A4C3B"/>
    <w:rsid w:val="007A4EEA"/>
    <w:rsid w:val="007B063A"/>
    <w:rsid w:val="007B1730"/>
    <w:rsid w:val="007B1887"/>
    <w:rsid w:val="007B4C85"/>
    <w:rsid w:val="007B5012"/>
    <w:rsid w:val="007B70ED"/>
    <w:rsid w:val="007C0D53"/>
    <w:rsid w:val="007C12DF"/>
    <w:rsid w:val="007C1A8A"/>
    <w:rsid w:val="007C56F2"/>
    <w:rsid w:val="007C5B1A"/>
    <w:rsid w:val="007C5D7A"/>
    <w:rsid w:val="007C7C9A"/>
    <w:rsid w:val="007D1989"/>
    <w:rsid w:val="007D1EF5"/>
    <w:rsid w:val="007D232A"/>
    <w:rsid w:val="007D2C8B"/>
    <w:rsid w:val="007D5508"/>
    <w:rsid w:val="007D6F7D"/>
    <w:rsid w:val="007E0190"/>
    <w:rsid w:val="007E05E8"/>
    <w:rsid w:val="007E3945"/>
    <w:rsid w:val="007E50CD"/>
    <w:rsid w:val="007E58AE"/>
    <w:rsid w:val="007E7FA7"/>
    <w:rsid w:val="007F0976"/>
    <w:rsid w:val="007F114A"/>
    <w:rsid w:val="007F2018"/>
    <w:rsid w:val="007F6B35"/>
    <w:rsid w:val="00800657"/>
    <w:rsid w:val="0080094F"/>
    <w:rsid w:val="00801CED"/>
    <w:rsid w:val="008024DB"/>
    <w:rsid w:val="00802E24"/>
    <w:rsid w:val="00805068"/>
    <w:rsid w:val="00813BD0"/>
    <w:rsid w:val="008217D6"/>
    <w:rsid w:val="00827BE3"/>
    <w:rsid w:val="00830580"/>
    <w:rsid w:val="00833B96"/>
    <w:rsid w:val="00834448"/>
    <w:rsid w:val="008412CD"/>
    <w:rsid w:val="00841F60"/>
    <w:rsid w:val="008475B4"/>
    <w:rsid w:val="0085183E"/>
    <w:rsid w:val="008540AA"/>
    <w:rsid w:val="00854EDC"/>
    <w:rsid w:val="00856687"/>
    <w:rsid w:val="00856CDE"/>
    <w:rsid w:val="00860A5C"/>
    <w:rsid w:val="008610F5"/>
    <w:rsid w:val="00861181"/>
    <w:rsid w:val="00866321"/>
    <w:rsid w:val="00867D81"/>
    <w:rsid w:val="00867E04"/>
    <w:rsid w:val="00870CE0"/>
    <w:rsid w:val="008733C2"/>
    <w:rsid w:val="008737F0"/>
    <w:rsid w:val="00876A59"/>
    <w:rsid w:val="00881E99"/>
    <w:rsid w:val="00886EE7"/>
    <w:rsid w:val="008902AD"/>
    <w:rsid w:val="008924A4"/>
    <w:rsid w:val="00894285"/>
    <w:rsid w:val="0089754C"/>
    <w:rsid w:val="008A1A7D"/>
    <w:rsid w:val="008A1F50"/>
    <w:rsid w:val="008A3F75"/>
    <w:rsid w:val="008A6CAF"/>
    <w:rsid w:val="008B0D8C"/>
    <w:rsid w:val="008B223C"/>
    <w:rsid w:val="008B47DF"/>
    <w:rsid w:val="008B4D8F"/>
    <w:rsid w:val="008B554C"/>
    <w:rsid w:val="008B76C9"/>
    <w:rsid w:val="008C2C2A"/>
    <w:rsid w:val="008C684A"/>
    <w:rsid w:val="008D0595"/>
    <w:rsid w:val="008D3844"/>
    <w:rsid w:val="008D5517"/>
    <w:rsid w:val="008D5E27"/>
    <w:rsid w:val="008D77A8"/>
    <w:rsid w:val="008E021A"/>
    <w:rsid w:val="008E0C97"/>
    <w:rsid w:val="008E198E"/>
    <w:rsid w:val="008E1C68"/>
    <w:rsid w:val="008F1417"/>
    <w:rsid w:val="008F29E0"/>
    <w:rsid w:val="008F2AC5"/>
    <w:rsid w:val="008F57E2"/>
    <w:rsid w:val="008F7B0C"/>
    <w:rsid w:val="00903ACE"/>
    <w:rsid w:val="00904493"/>
    <w:rsid w:val="00904767"/>
    <w:rsid w:val="00904A67"/>
    <w:rsid w:val="00907BAD"/>
    <w:rsid w:val="00912D73"/>
    <w:rsid w:val="00913477"/>
    <w:rsid w:val="00915DEE"/>
    <w:rsid w:val="00917751"/>
    <w:rsid w:val="00917DE7"/>
    <w:rsid w:val="00921B9D"/>
    <w:rsid w:val="009229EA"/>
    <w:rsid w:val="009237E4"/>
    <w:rsid w:val="0092745E"/>
    <w:rsid w:val="00927E84"/>
    <w:rsid w:val="00931E87"/>
    <w:rsid w:val="009338AC"/>
    <w:rsid w:val="00934F1E"/>
    <w:rsid w:val="009350F4"/>
    <w:rsid w:val="00937257"/>
    <w:rsid w:val="009401CF"/>
    <w:rsid w:val="00943091"/>
    <w:rsid w:val="009471D0"/>
    <w:rsid w:val="0094766F"/>
    <w:rsid w:val="00952F6D"/>
    <w:rsid w:val="00953AFC"/>
    <w:rsid w:val="00956249"/>
    <w:rsid w:val="009601D5"/>
    <w:rsid w:val="009602B0"/>
    <w:rsid w:val="00960654"/>
    <w:rsid w:val="00962151"/>
    <w:rsid w:val="00962CF2"/>
    <w:rsid w:val="00971143"/>
    <w:rsid w:val="009721BF"/>
    <w:rsid w:val="0097337F"/>
    <w:rsid w:val="0097784C"/>
    <w:rsid w:val="00982507"/>
    <w:rsid w:val="00986CFB"/>
    <w:rsid w:val="00992323"/>
    <w:rsid w:val="00992614"/>
    <w:rsid w:val="009A46D7"/>
    <w:rsid w:val="009A4B17"/>
    <w:rsid w:val="009A4D2A"/>
    <w:rsid w:val="009A4F12"/>
    <w:rsid w:val="009A67CA"/>
    <w:rsid w:val="009A7B95"/>
    <w:rsid w:val="009B5C74"/>
    <w:rsid w:val="009B5D83"/>
    <w:rsid w:val="009B78FA"/>
    <w:rsid w:val="009C1304"/>
    <w:rsid w:val="009C447F"/>
    <w:rsid w:val="009C47A0"/>
    <w:rsid w:val="009D0340"/>
    <w:rsid w:val="009D10C4"/>
    <w:rsid w:val="009D4116"/>
    <w:rsid w:val="009D510F"/>
    <w:rsid w:val="009D7A3E"/>
    <w:rsid w:val="009E0749"/>
    <w:rsid w:val="009E2DE9"/>
    <w:rsid w:val="009E417E"/>
    <w:rsid w:val="009E7A53"/>
    <w:rsid w:val="009F0935"/>
    <w:rsid w:val="009F09D3"/>
    <w:rsid w:val="009F3F9B"/>
    <w:rsid w:val="00A0186D"/>
    <w:rsid w:val="00A10D76"/>
    <w:rsid w:val="00A13FA8"/>
    <w:rsid w:val="00A14311"/>
    <w:rsid w:val="00A15CB1"/>
    <w:rsid w:val="00A15EF4"/>
    <w:rsid w:val="00A16AB0"/>
    <w:rsid w:val="00A203CA"/>
    <w:rsid w:val="00A2165D"/>
    <w:rsid w:val="00A223BC"/>
    <w:rsid w:val="00A22774"/>
    <w:rsid w:val="00A26870"/>
    <w:rsid w:val="00A271EA"/>
    <w:rsid w:val="00A27E96"/>
    <w:rsid w:val="00A30FFA"/>
    <w:rsid w:val="00A3240C"/>
    <w:rsid w:val="00A34360"/>
    <w:rsid w:val="00A34724"/>
    <w:rsid w:val="00A35920"/>
    <w:rsid w:val="00A44552"/>
    <w:rsid w:val="00A44D23"/>
    <w:rsid w:val="00A50015"/>
    <w:rsid w:val="00A51D40"/>
    <w:rsid w:val="00A526D7"/>
    <w:rsid w:val="00A52895"/>
    <w:rsid w:val="00A529E2"/>
    <w:rsid w:val="00A55296"/>
    <w:rsid w:val="00A55A89"/>
    <w:rsid w:val="00A566FF"/>
    <w:rsid w:val="00A57023"/>
    <w:rsid w:val="00A64AF7"/>
    <w:rsid w:val="00A64BF5"/>
    <w:rsid w:val="00A7041D"/>
    <w:rsid w:val="00A70472"/>
    <w:rsid w:val="00A70D3C"/>
    <w:rsid w:val="00A71B38"/>
    <w:rsid w:val="00A73547"/>
    <w:rsid w:val="00A763A7"/>
    <w:rsid w:val="00A82351"/>
    <w:rsid w:val="00A82C40"/>
    <w:rsid w:val="00A83AF0"/>
    <w:rsid w:val="00A84359"/>
    <w:rsid w:val="00A9191D"/>
    <w:rsid w:val="00A93555"/>
    <w:rsid w:val="00A9594F"/>
    <w:rsid w:val="00A96980"/>
    <w:rsid w:val="00AA06C0"/>
    <w:rsid w:val="00AA165A"/>
    <w:rsid w:val="00AA1D2C"/>
    <w:rsid w:val="00AA20E2"/>
    <w:rsid w:val="00AA2826"/>
    <w:rsid w:val="00AA61FA"/>
    <w:rsid w:val="00AB33C1"/>
    <w:rsid w:val="00AB7DC9"/>
    <w:rsid w:val="00AC3BB2"/>
    <w:rsid w:val="00AD1752"/>
    <w:rsid w:val="00AD2620"/>
    <w:rsid w:val="00AD376A"/>
    <w:rsid w:val="00AD5C7B"/>
    <w:rsid w:val="00AD5DDE"/>
    <w:rsid w:val="00AE0963"/>
    <w:rsid w:val="00AE0AA0"/>
    <w:rsid w:val="00AE1738"/>
    <w:rsid w:val="00AE1D0A"/>
    <w:rsid w:val="00AE259D"/>
    <w:rsid w:val="00AE40F5"/>
    <w:rsid w:val="00AE4AB3"/>
    <w:rsid w:val="00AE728E"/>
    <w:rsid w:val="00AF0374"/>
    <w:rsid w:val="00AF29CA"/>
    <w:rsid w:val="00AF3B44"/>
    <w:rsid w:val="00AF519C"/>
    <w:rsid w:val="00AF5993"/>
    <w:rsid w:val="00AF78F9"/>
    <w:rsid w:val="00B070CB"/>
    <w:rsid w:val="00B07672"/>
    <w:rsid w:val="00B07F10"/>
    <w:rsid w:val="00B11161"/>
    <w:rsid w:val="00B121E6"/>
    <w:rsid w:val="00B16928"/>
    <w:rsid w:val="00B172F1"/>
    <w:rsid w:val="00B22757"/>
    <w:rsid w:val="00B24052"/>
    <w:rsid w:val="00B26A9D"/>
    <w:rsid w:val="00B27A25"/>
    <w:rsid w:val="00B31EC2"/>
    <w:rsid w:val="00B32026"/>
    <w:rsid w:val="00B32F75"/>
    <w:rsid w:val="00B33A23"/>
    <w:rsid w:val="00B3755A"/>
    <w:rsid w:val="00B37B03"/>
    <w:rsid w:val="00B41109"/>
    <w:rsid w:val="00B42C66"/>
    <w:rsid w:val="00B4405A"/>
    <w:rsid w:val="00B45815"/>
    <w:rsid w:val="00B5215A"/>
    <w:rsid w:val="00B55959"/>
    <w:rsid w:val="00B62964"/>
    <w:rsid w:val="00B6363F"/>
    <w:rsid w:val="00B644FA"/>
    <w:rsid w:val="00B662C4"/>
    <w:rsid w:val="00B66536"/>
    <w:rsid w:val="00B67431"/>
    <w:rsid w:val="00B731E1"/>
    <w:rsid w:val="00B74849"/>
    <w:rsid w:val="00B77960"/>
    <w:rsid w:val="00B804AB"/>
    <w:rsid w:val="00B82493"/>
    <w:rsid w:val="00B8317B"/>
    <w:rsid w:val="00B83F83"/>
    <w:rsid w:val="00B877B3"/>
    <w:rsid w:val="00B90D34"/>
    <w:rsid w:val="00B90DDC"/>
    <w:rsid w:val="00B90F44"/>
    <w:rsid w:val="00B922C1"/>
    <w:rsid w:val="00B93387"/>
    <w:rsid w:val="00B93713"/>
    <w:rsid w:val="00B95C26"/>
    <w:rsid w:val="00B95DAF"/>
    <w:rsid w:val="00BA0990"/>
    <w:rsid w:val="00BA5314"/>
    <w:rsid w:val="00BB5565"/>
    <w:rsid w:val="00BB7797"/>
    <w:rsid w:val="00BC05CE"/>
    <w:rsid w:val="00BC2BDE"/>
    <w:rsid w:val="00BC3C62"/>
    <w:rsid w:val="00BD28C7"/>
    <w:rsid w:val="00BD34B8"/>
    <w:rsid w:val="00BD4ACD"/>
    <w:rsid w:val="00BD7F84"/>
    <w:rsid w:val="00BE0337"/>
    <w:rsid w:val="00BE3A21"/>
    <w:rsid w:val="00BE5264"/>
    <w:rsid w:val="00BE782D"/>
    <w:rsid w:val="00BF127B"/>
    <w:rsid w:val="00BF5CE3"/>
    <w:rsid w:val="00C053F5"/>
    <w:rsid w:val="00C12637"/>
    <w:rsid w:val="00C15483"/>
    <w:rsid w:val="00C1665C"/>
    <w:rsid w:val="00C2441B"/>
    <w:rsid w:val="00C260F7"/>
    <w:rsid w:val="00C265BC"/>
    <w:rsid w:val="00C3075C"/>
    <w:rsid w:val="00C41B24"/>
    <w:rsid w:val="00C42872"/>
    <w:rsid w:val="00C46D43"/>
    <w:rsid w:val="00C47543"/>
    <w:rsid w:val="00C47BEE"/>
    <w:rsid w:val="00C50BAD"/>
    <w:rsid w:val="00C5265A"/>
    <w:rsid w:val="00C5435E"/>
    <w:rsid w:val="00C60380"/>
    <w:rsid w:val="00C6039C"/>
    <w:rsid w:val="00C6099C"/>
    <w:rsid w:val="00C62540"/>
    <w:rsid w:val="00C629BD"/>
    <w:rsid w:val="00C630C9"/>
    <w:rsid w:val="00C65016"/>
    <w:rsid w:val="00C65230"/>
    <w:rsid w:val="00C653B9"/>
    <w:rsid w:val="00C66237"/>
    <w:rsid w:val="00C66C33"/>
    <w:rsid w:val="00C66D23"/>
    <w:rsid w:val="00C71381"/>
    <w:rsid w:val="00C715CF"/>
    <w:rsid w:val="00C72821"/>
    <w:rsid w:val="00C85F8A"/>
    <w:rsid w:val="00C868A0"/>
    <w:rsid w:val="00C868F8"/>
    <w:rsid w:val="00C87209"/>
    <w:rsid w:val="00C91A26"/>
    <w:rsid w:val="00CA03A9"/>
    <w:rsid w:val="00CA1835"/>
    <w:rsid w:val="00CA395E"/>
    <w:rsid w:val="00CA3D18"/>
    <w:rsid w:val="00CA64A2"/>
    <w:rsid w:val="00CB08A7"/>
    <w:rsid w:val="00CB2582"/>
    <w:rsid w:val="00CB2971"/>
    <w:rsid w:val="00CB306D"/>
    <w:rsid w:val="00CB5E5C"/>
    <w:rsid w:val="00CB791E"/>
    <w:rsid w:val="00CB7AEF"/>
    <w:rsid w:val="00CB7F0A"/>
    <w:rsid w:val="00CC06A3"/>
    <w:rsid w:val="00CC0819"/>
    <w:rsid w:val="00CC111E"/>
    <w:rsid w:val="00CC4C84"/>
    <w:rsid w:val="00CC7974"/>
    <w:rsid w:val="00CD13D0"/>
    <w:rsid w:val="00CD1FCB"/>
    <w:rsid w:val="00CD20EB"/>
    <w:rsid w:val="00CD2DC1"/>
    <w:rsid w:val="00CD2E42"/>
    <w:rsid w:val="00CD3136"/>
    <w:rsid w:val="00CD6150"/>
    <w:rsid w:val="00CE02C6"/>
    <w:rsid w:val="00CE0328"/>
    <w:rsid w:val="00CE12E0"/>
    <w:rsid w:val="00CE17F3"/>
    <w:rsid w:val="00CE334F"/>
    <w:rsid w:val="00CE6C07"/>
    <w:rsid w:val="00CF2552"/>
    <w:rsid w:val="00CF3000"/>
    <w:rsid w:val="00D002CE"/>
    <w:rsid w:val="00D040F0"/>
    <w:rsid w:val="00D058C1"/>
    <w:rsid w:val="00D05984"/>
    <w:rsid w:val="00D07E55"/>
    <w:rsid w:val="00D10B6D"/>
    <w:rsid w:val="00D11C45"/>
    <w:rsid w:val="00D11CB1"/>
    <w:rsid w:val="00D12EC7"/>
    <w:rsid w:val="00D14FE8"/>
    <w:rsid w:val="00D167F1"/>
    <w:rsid w:val="00D1741A"/>
    <w:rsid w:val="00D234D8"/>
    <w:rsid w:val="00D30DD4"/>
    <w:rsid w:val="00D312AC"/>
    <w:rsid w:val="00D316F0"/>
    <w:rsid w:val="00D32164"/>
    <w:rsid w:val="00D35161"/>
    <w:rsid w:val="00D46870"/>
    <w:rsid w:val="00D46C60"/>
    <w:rsid w:val="00D5523F"/>
    <w:rsid w:val="00D55DB0"/>
    <w:rsid w:val="00D55EE3"/>
    <w:rsid w:val="00D572FB"/>
    <w:rsid w:val="00D60542"/>
    <w:rsid w:val="00D63723"/>
    <w:rsid w:val="00D67BEA"/>
    <w:rsid w:val="00D750E9"/>
    <w:rsid w:val="00D75B7C"/>
    <w:rsid w:val="00D7622C"/>
    <w:rsid w:val="00D76E7F"/>
    <w:rsid w:val="00D778E7"/>
    <w:rsid w:val="00D81137"/>
    <w:rsid w:val="00D84B97"/>
    <w:rsid w:val="00D85711"/>
    <w:rsid w:val="00D85B85"/>
    <w:rsid w:val="00D908FE"/>
    <w:rsid w:val="00D91D89"/>
    <w:rsid w:val="00D952E6"/>
    <w:rsid w:val="00D96B2D"/>
    <w:rsid w:val="00DA1FB7"/>
    <w:rsid w:val="00DA30F2"/>
    <w:rsid w:val="00DA4013"/>
    <w:rsid w:val="00DA5379"/>
    <w:rsid w:val="00DA5737"/>
    <w:rsid w:val="00DA6F68"/>
    <w:rsid w:val="00DA74AE"/>
    <w:rsid w:val="00DB2F67"/>
    <w:rsid w:val="00DB4AD2"/>
    <w:rsid w:val="00DB64AC"/>
    <w:rsid w:val="00DB7ACD"/>
    <w:rsid w:val="00DC27A8"/>
    <w:rsid w:val="00DC2B89"/>
    <w:rsid w:val="00DC663C"/>
    <w:rsid w:val="00DD45E0"/>
    <w:rsid w:val="00DE0144"/>
    <w:rsid w:val="00DE0CF3"/>
    <w:rsid w:val="00DE0DAA"/>
    <w:rsid w:val="00DE41A0"/>
    <w:rsid w:val="00DE7750"/>
    <w:rsid w:val="00DF01C2"/>
    <w:rsid w:val="00DF14CF"/>
    <w:rsid w:val="00DF3227"/>
    <w:rsid w:val="00DF40E2"/>
    <w:rsid w:val="00DF59E9"/>
    <w:rsid w:val="00DF754E"/>
    <w:rsid w:val="00E0351E"/>
    <w:rsid w:val="00E10A5A"/>
    <w:rsid w:val="00E11106"/>
    <w:rsid w:val="00E1179D"/>
    <w:rsid w:val="00E1202A"/>
    <w:rsid w:val="00E124C5"/>
    <w:rsid w:val="00E14D59"/>
    <w:rsid w:val="00E14D9C"/>
    <w:rsid w:val="00E16350"/>
    <w:rsid w:val="00E16A4A"/>
    <w:rsid w:val="00E1751A"/>
    <w:rsid w:val="00E21209"/>
    <w:rsid w:val="00E23D31"/>
    <w:rsid w:val="00E313B3"/>
    <w:rsid w:val="00E3285C"/>
    <w:rsid w:val="00E331CA"/>
    <w:rsid w:val="00E343D0"/>
    <w:rsid w:val="00E35E48"/>
    <w:rsid w:val="00E37F0F"/>
    <w:rsid w:val="00E40E63"/>
    <w:rsid w:val="00E416DE"/>
    <w:rsid w:val="00E423B9"/>
    <w:rsid w:val="00E431C4"/>
    <w:rsid w:val="00E45FE5"/>
    <w:rsid w:val="00E4648C"/>
    <w:rsid w:val="00E50095"/>
    <w:rsid w:val="00E51943"/>
    <w:rsid w:val="00E5277A"/>
    <w:rsid w:val="00E53164"/>
    <w:rsid w:val="00E545EA"/>
    <w:rsid w:val="00E5584A"/>
    <w:rsid w:val="00E6021C"/>
    <w:rsid w:val="00E60488"/>
    <w:rsid w:val="00E629D6"/>
    <w:rsid w:val="00E62BA6"/>
    <w:rsid w:val="00E62ED7"/>
    <w:rsid w:val="00E6320E"/>
    <w:rsid w:val="00E63570"/>
    <w:rsid w:val="00E637EF"/>
    <w:rsid w:val="00E651B5"/>
    <w:rsid w:val="00E65A2B"/>
    <w:rsid w:val="00E65CAE"/>
    <w:rsid w:val="00E712E5"/>
    <w:rsid w:val="00E71D73"/>
    <w:rsid w:val="00E757A2"/>
    <w:rsid w:val="00E77D60"/>
    <w:rsid w:val="00E805DF"/>
    <w:rsid w:val="00E87558"/>
    <w:rsid w:val="00E91572"/>
    <w:rsid w:val="00E947DC"/>
    <w:rsid w:val="00E96A26"/>
    <w:rsid w:val="00E97A93"/>
    <w:rsid w:val="00EA06CA"/>
    <w:rsid w:val="00EA15C4"/>
    <w:rsid w:val="00EA39F6"/>
    <w:rsid w:val="00EA4B8B"/>
    <w:rsid w:val="00EA5DF3"/>
    <w:rsid w:val="00EA6D47"/>
    <w:rsid w:val="00EA70AD"/>
    <w:rsid w:val="00EB36AE"/>
    <w:rsid w:val="00EB697D"/>
    <w:rsid w:val="00EC1755"/>
    <w:rsid w:val="00EC42B4"/>
    <w:rsid w:val="00EC5A55"/>
    <w:rsid w:val="00EC61CC"/>
    <w:rsid w:val="00EC6BB5"/>
    <w:rsid w:val="00ED0622"/>
    <w:rsid w:val="00ED1932"/>
    <w:rsid w:val="00ED49D4"/>
    <w:rsid w:val="00ED5577"/>
    <w:rsid w:val="00ED62E1"/>
    <w:rsid w:val="00ED7240"/>
    <w:rsid w:val="00EE0433"/>
    <w:rsid w:val="00EE13C5"/>
    <w:rsid w:val="00EE261A"/>
    <w:rsid w:val="00EE5D24"/>
    <w:rsid w:val="00EF2C07"/>
    <w:rsid w:val="00EF5E9F"/>
    <w:rsid w:val="00F007A0"/>
    <w:rsid w:val="00F00C74"/>
    <w:rsid w:val="00F01DFC"/>
    <w:rsid w:val="00F02E1B"/>
    <w:rsid w:val="00F039FD"/>
    <w:rsid w:val="00F06953"/>
    <w:rsid w:val="00F06C05"/>
    <w:rsid w:val="00F06FE4"/>
    <w:rsid w:val="00F10B13"/>
    <w:rsid w:val="00F10D07"/>
    <w:rsid w:val="00F127A0"/>
    <w:rsid w:val="00F12CAA"/>
    <w:rsid w:val="00F14664"/>
    <w:rsid w:val="00F248DD"/>
    <w:rsid w:val="00F25D52"/>
    <w:rsid w:val="00F2666F"/>
    <w:rsid w:val="00F2739A"/>
    <w:rsid w:val="00F3058B"/>
    <w:rsid w:val="00F30F7A"/>
    <w:rsid w:val="00F31F64"/>
    <w:rsid w:val="00F35049"/>
    <w:rsid w:val="00F3693D"/>
    <w:rsid w:val="00F4356E"/>
    <w:rsid w:val="00F43FE5"/>
    <w:rsid w:val="00F456DE"/>
    <w:rsid w:val="00F52945"/>
    <w:rsid w:val="00F53A13"/>
    <w:rsid w:val="00F574E9"/>
    <w:rsid w:val="00F6270B"/>
    <w:rsid w:val="00F63AF9"/>
    <w:rsid w:val="00F6506A"/>
    <w:rsid w:val="00F65E9F"/>
    <w:rsid w:val="00F6689C"/>
    <w:rsid w:val="00F671B9"/>
    <w:rsid w:val="00F67285"/>
    <w:rsid w:val="00F70383"/>
    <w:rsid w:val="00F71E5D"/>
    <w:rsid w:val="00F73687"/>
    <w:rsid w:val="00F7404B"/>
    <w:rsid w:val="00F74CBE"/>
    <w:rsid w:val="00F809DC"/>
    <w:rsid w:val="00F83DD3"/>
    <w:rsid w:val="00F860AB"/>
    <w:rsid w:val="00F905E9"/>
    <w:rsid w:val="00F90615"/>
    <w:rsid w:val="00F90C3D"/>
    <w:rsid w:val="00F927A5"/>
    <w:rsid w:val="00F933DF"/>
    <w:rsid w:val="00F93473"/>
    <w:rsid w:val="00F94A72"/>
    <w:rsid w:val="00F95EFC"/>
    <w:rsid w:val="00FA40E0"/>
    <w:rsid w:val="00FB03EF"/>
    <w:rsid w:val="00FB0797"/>
    <w:rsid w:val="00FB1AB5"/>
    <w:rsid w:val="00FB26D7"/>
    <w:rsid w:val="00FB4685"/>
    <w:rsid w:val="00FB468F"/>
    <w:rsid w:val="00FB70A6"/>
    <w:rsid w:val="00FB7D60"/>
    <w:rsid w:val="00FC3348"/>
    <w:rsid w:val="00FD2088"/>
    <w:rsid w:val="00FD2B82"/>
    <w:rsid w:val="00FD3921"/>
    <w:rsid w:val="00FD5B50"/>
    <w:rsid w:val="00FD73BF"/>
    <w:rsid w:val="00FE0DC0"/>
    <w:rsid w:val="00FE238A"/>
    <w:rsid w:val="00FE694C"/>
    <w:rsid w:val="00FE76C5"/>
    <w:rsid w:val="00FF05EA"/>
    <w:rsid w:val="00FF26F0"/>
    <w:rsid w:val="00FF6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94"/>
    <o:shapelayout v:ext="edit">
      <o:idmap v:ext="edit" data="1"/>
    </o:shapelayout>
  </w:shapeDefaults>
  <w:decimalSymbol w:val="."/>
  <w:listSeparator w:val=","/>
  <w14:docId w14:val="0DD19894"/>
  <w15:chartTrackingRefBased/>
  <w15:docId w15:val="{3E3A97D5-D551-4B46-8D6A-CE07C3F2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FB0797"/>
    <w:pPr>
      <w:keepNext/>
      <w:overflowPunct/>
      <w:autoSpaceDE/>
      <w:autoSpaceDN/>
      <w:adjustRightInd/>
      <w:jc w:val="right"/>
      <w:textAlignment w:val="auto"/>
      <w:outlineLvl w:val="0"/>
    </w:pPr>
    <w:rPr>
      <w:b/>
      <w:sz w:val="22"/>
    </w:rPr>
  </w:style>
  <w:style w:type="paragraph" w:styleId="Heading2">
    <w:name w:val="heading 2"/>
    <w:basedOn w:val="Normal"/>
    <w:next w:val="Normal"/>
    <w:qFormat/>
    <w:rsid w:val="00FB0797"/>
    <w:pPr>
      <w:keepNext/>
      <w:overflowPunct/>
      <w:autoSpaceDE/>
      <w:autoSpaceDN/>
      <w:adjustRightInd/>
      <w:textAlignment w:val="auto"/>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autoSpaceDE/>
      <w:autoSpaceDN/>
      <w:adjustRightInd/>
      <w:textAlignment w:val="auto"/>
    </w:pPr>
  </w:style>
  <w:style w:type="paragraph" w:styleId="Footer">
    <w:name w:val="footer"/>
    <w:basedOn w:val="Normal"/>
    <w:pPr>
      <w:tabs>
        <w:tab w:val="center" w:pos="4320"/>
        <w:tab w:val="right" w:pos="8640"/>
      </w:tabs>
      <w:overflowPunct/>
      <w:autoSpaceDE/>
      <w:autoSpaceDN/>
      <w:adjustRightInd/>
      <w:textAlignment w:val="auto"/>
    </w:pPr>
  </w:style>
  <w:style w:type="character" w:styleId="PageNumber">
    <w:name w:val="page number"/>
    <w:basedOn w:val="DefaultParagraphFont"/>
    <w:rsid w:val="00FB0797"/>
  </w:style>
  <w:style w:type="paragraph" w:styleId="BodyTextIndent2">
    <w:name w:val="Body Text Indent 2"/>
    <w:basedOn w:val="Normal"/>
    <w:rsid w:val="00FB0797"/>
    <w:pPr>
      <w:ind w:left="1440"/>
    </w:pPr>
    <w:rPr>
      <w:sz w:val="24"/>
    </w:rPr>
  </w:style>
  <w:style w:type="character" w:styleId="Hyperlink">
    <w:name w:val="Hyperlink"/>
    <w:uiPriority w:val="99"/>
    <w:rsid w:val="00F02E1B"/>
    <w:rPr>
      <w:color w:val="0000FF"/>
      <w:u w:val="single"/>
    </w:rPr>
  </w:style>
  <w:style w:type="character" w:customStyle="1" w:styleId="pseditboxdisponly1">
    <w:name w:val="pseditboxdisponly1"/>
    <w:rsid w:val="00790623"/>
    <w:rPr>
      <w:rFonts w:ascii="Arial" w:hAnsi="Arial" w:cs="Arial" w:hint="default"/>
      <w:b w:val="0"/>
      <w:bCs w:val="0"/>
      <w:i w:val="0"/>
      <w:iCs w:val="0"/>
      <w:color w:val="000000"/>
      <w:bdr w:val="none" w:sz="0" w:space="0" w:color="auto" w:frame="1"/>
    </w:rPr>
  </w:style>
  <w:style w:type="paragraph" w:styleId="ListParagraph">
    <w:name w:val="List Paragraph"/>
    <w:basedOn w:val="Normal"/>
    <w:uiPriority w:val="34"/>
    <w:qFormat/>
    <w:rsid w:val="00CD2DC1"/>
    <w:pPr>
      <w:ind w:left="720"/>
    </w:pPr>
  </w:style>
  <w:style w:type="paragraph" w:styleId="BalloonText">
    <w:name w:val="Balloon Text"/>
    <w:basedOn w:val="Normal"/>
    <w:link w:val="BalloonTextChar"/>
    <w:rsid w:val="00DA5379"/>
    <w:rPr>
      <w:rFonts w:ascii="Tahoma" w:hAnsi="Tahoma" w:cs="Tahoma"/>
      <w:sz w:val="16"/>
      <w:szCs w:val="16"/>
    </w:rPr>
  </w:style>
  <w:style w:type="character" w:customStyle="1" w:styleId="BalloonTextChar">
    <w:name w:val="Balloon Text Char"/>
    <w:link w:val="BalloonText"/>
    <w:rsid w:val="00DA5379"/>
    <w:rPr>
      <w:rFonts w:ascii="Tahoma" w:hAnsi="Tahoma" w:cs="Tahoma"/>
      <w:sz w:val="16"/>
      <w:szCs w:val="16"/>
    </w:rPr>
  </w:style>
  <w:style w:type="table" w:styleId="TableGrid">
    <w:name w:val="Table Grid"/>
    <w:basedOn w:val="TableNormal"/>
    <w:rsid w:val="0016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B64AC"/>
    <w:rPr>
      <w:sz w:val="16"/>
      <w:szCs w:val="16"/>
    </w:rPr>
  </w:style>
  <w:style w:type="paragraph" w:styleId="CommentText">
    <w:name w:val="annotation text"/>
    <w:basedOn w:val="Normal"/>
    <w:link w:val="CommentTextChar"/>
    <w:uiPriority w:val="99"/>
    <w:rsid w:val="00DB64AC"/>
  </w:style>
  <w:style w:type="character" w:customStyle="1" w:styleId="CommentTextChar">
    <w:name w:val="Comment Text Char"/>
    <w:basedOn w:val="DefaultParagraphFont"/>
    <w:link w:val="CommentText"/>
    <w:uiPriority w:val="99"/>
    <w:rsid w:val="00DB64AC"/>
  </w:style>
  <w:style w:type="paragraph" w:styleId="CommentSubject">
    <w:name w:val="annotation subject"/>
    <w:basedOn w:val="CommentText"/>
    <w:next w:val="CommentText"/>
    <w:link w:val="CommentSubjectChar"/>
    <w:rsid w:val="00DB64AC"/>
    <w:rPr>
      <w:b/>
      <w:bCs/>
    </w:rPr>
  </w:style>
  <w:style w:type="character" w:customStyle="1" w:styleId="CommentSubjectChar">
    <w:name w:val="Comment Subject Char"/>
    <w:link w:val="CommentSubject"/>
    <w:rsid w:val="00DB64AC"/>
    <w:rPr>
      <w:b/>
      <w:bCs/>
    </w:rPr>
  </w:style>
  <w:style w:type="paragraph" w:styleId="Revision">
    <w:name w:val="Revision"/>
    <w:hidden/>
    <w:uiPriority w:val="99"/>
    <w:semiHidden/>
    <w:rsid w:val="00DB64AC"/>
  </w:style>
  <w:style w:type="character" w:customStyle="1" w:styleId="apple-converted-space">
    <w:name w:val="apple-converted-space"/>
    <w:rsid w:val="00FB1AB5"/>
  </w:style>
  <w:style w:type="paragraph" w:styleId="PlainText">
    <w:name w:val="Plain Text"/>
    <w:basedOn w:val="Normal"/>
    <w:link w:val="PlainTextChar"/>
    <w:uiPriority w:val="99"/>
    <w:unhideWhenUsed/>
    <w:rsid w:val="005D2E39"/>
    <w:pPr>
      <w:overflowPunct/>
      <w:autoSpaceDE/>
      <w:autoSpaceDN/>
      <w:adjustRightInd/>
      <w:textAlignment w:val="auto"/>
    </w:pPr>
    <w:rPr>
      <w:rFonts w:ascii="Calibri" w:eastAsia="Calibri" w:hAnsi="Calibri"/>
      <w:sz w:val="22"/>
      <w:szCs w:val="22"/>
    </w:rPr>
  </w:style>
  <w:style w:type="character" w:customStyle="1" w:styleId="PlainTextChar">
    <w:name w:val="Plain Text Char"/>
    <w:link w:val="PlainText"/>
    <w:uiPriority w:val="99"/>
    <w:rsid w:val="005D2E39"/>
    <w:rPr>
      <w:rFonts w:ascii="Calibri" w:eastAsia="Calibri" w:hAnsi="Calibri"/>
      <w:sz w:val="22"/>
      <w:szCs w:val="22"/>
    </w:rPr>
  </w:style>
  <w:style w:type="paragraph" w:styleId="NoSpacing">
    <w:name w:val="No Spacing"/>
    <w:uiPriority w:val="1"/>
    <w:qFormat/>
    <w:rsid w:val="007D5508"/>
    <w:pPr>
      <w:overflowPunct w:val="0"/>
      <w:autoSpaceDE w:val="0"/>
      <w:autoSpaceDN w:val="0"/>
      <w:adjustRightInd w:val="0"/>
      <w:textAlignment w:val="baseline"/>
    </w:pPr>
  </w:style>
  <w:style w:type="paragraph" w:styleId="NormalWeb">
    <w:name w:val="Normal (Web)"/>
    <w:basedOn w:val="Normal"/>
    <w:uiPriority w:val="99"/>
    <w:unhideWhenUsed/>
    <w:rsid w:val="00C50BAD"/>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C50BAD"/>
    <w:rPr>
      <w:b/>
      <w:bCs/>
    </w:rPr>
  </w:style>
  <w:style w:type="paragraph" w:styleId="FootnoteText">
    <w:name w:val="footnote text"/>
    <w:basedOn w:val="Normal"/>
    <w:link w:val="FootnoteTextChar"/>
    <w:uiPriority w:val="99"/>
    <w:unhideWhenUsed/>
    <w:rsid w:val="006F1CF4"/>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F1CF4"/>
    <w:rPr>
      <w:rFonts w:asciiTheme="minorHAnsi" w:eastAsiaTheme="minorHAnsi" w:hAnsiTheme="minorHAnsi" w:cstheme="minorBidi"/>
    </w:rPr>
  </w:style>
  <w:style w:type="character" w:styleId="FootnoteReference">
    <w:name w:val="footnote reference"/>
    <w:basedOn w:val="DefaultParagraphFont"/>
    <w:uiPriority w:val="99"/>
    <w:unhideWhenUsed/>
    <w:rsid w:val="006F1CF4"/>
    <w:rPr>
      <w:vertAlign w:val="superscript"/>
    </w:rPr>
  </w:style>
  <w:style w:type="paragraph" w:styleId="EndnoteText">
    <w:name w:val="endnote text"/>
    <w:basedOn w:val="Normal"/>
    <w:link w:val="EndnoteTextChar"/>
    <w:rsid w:val="009A4B17"/>
  </w:style>
  <w:style w:type="character" w:customStyle="1" w:styleId="EndnoteTextChar">
    <w:name w:val="Endnote Text Char"/>
    <w:basedOn w:val="DefaultParagraphFont"/>
    <w:link w:val="EndnoteText"/>
    <w:rsid w:val="009A4B17"/>
  </w:style>
  <w:style w:type="character" w:styleId="EndnoteReference">
    <w:name w:val="endnote reference"/>
    <w:basedOn w:val="DefaultParagraphFont"/>
    <w:rsid w:val="009A4B17"/>
    <w:rPr>
      <w:vertAlign w:val="superscript"/>
    </w:rPr>
  </w:style>
  <w:style w:type="paragraph" w:customStyle="1" w:styleId="Default">
    <w:name w:val="Default"/>
    <w:basedOn w:val="Normal"/>
    <w:rsid w:val="00430904"/>
    <w:pPr>
      <w:overflowPunct/>
      <w:adjustRightInd/>
      <w:textAlignment w:val="auto"/>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4772">
      <w:bodyDiv w:val="1"/>
      <w:marLeft w:val="0"/>
      <w:marRight w:val="0"/>
      <w:marTop w:val="0"/>
      <w:marBottom w:val="0"/>
      <w:divBdr>
        <w:top w:val="none" w:sz="0" w:space="0" w:color="auto"/>
        <w:left w:val="none" w:sz="0" w:space="0" w:color="auto"/>
        <w:bottom w:val="none" w:sz="0" w:space="0" w:color="auto"/>
        <w:right w:val="none" w:sz="0" w:space="0" w:color="auto"/>
      </w:divBdr>
    </w:div>
    <w:div w:id="265357373">
      <w:bodyDiv w:val="1"/>
      <w:marLeft w:val="0"/>
      <w:marRight w:val="0"/>
      <w:marTop w:val="0"/>
      <w:marBottom w:val="0"/>
      <w:divBdr>
        <w:top w:val="none" w:sz="0" w:space="0" w:color="auto"/>
        <w:left w:val="none" w:sz="0" w:space="0" w:color="auto"/>
        <w:bottom w:val="none" w:sz="0" w:space="0" w:color="auto"/>
        <w:right w:val="none" w:sz="0" w:space="0" w:color="auto"/>
      </w:divBdr>
    </w:div>
    <w:div w:id="284966306">
      <w:bodyDiv w:val="1"/>
      <w:marLeft w:val="0"/>
      <w:marRight w:val="0"/>
      <w:marTop w:val="0"/>
      <w:marBottom w:val="0"/>
      <w:divBdr>
        <w:top w:val="none" w:sz="0" w:space="0" w:color="auto"/>
        <w:left w:val="none" w:sz="0" w:space="0" w:color="auto"/>
        <w:bottom w:val="none" w:sz="0" w:space="0" w:color="auto"/>
        <w:right w:val="none" w:sz="0" w:space="0" w:color="auto"/>
      </w:divBdr>
    </w:div>
    <w:div w:id="289867622">
      <w:bodyDiv w:val="1"/>
      <w:marLeft w:val="0"/>
      <w:marRight w:val="0"/>
      <w:marTop w:val="0"/>
      <w:marBottom w:val="0"/>
      <w:divBdr>
        <w:top w:val="none" w:sz="0" w:space="0" w:color="auto"/>
        <w:left w:val="none" w:sz="0" w:space="0" w:color="auto"/>
        <w:bottom w:val="none" w:sz="0" w:space="0" w:color="auto"/>
        <w:right w:val="none" w:sz="0" w:space="0" w:color="auto"/>
      </w:divBdr>
    </w:div>
    <w:div w:id="340738968">
      <w:bodyDiv w:val="1"/>
      <w:marLeft w:val="0"/>
      <w:marRight w:val="0"/>
      <w:marTop w:val="0"/>
      <w:marBottom w:val="0"/>
      <w:divBdr>
        <w:top w:val="none" w:sz="0" w:space="0" w:color="auto"/>
        <w:left w:val="none" w:sz="0" w:space="0" w:color="auto"/>
        <w:bottom w:val="none" w:sz="0" w:space="0" w:color="auto"/>
        <w:right w:val="none" w:sz="0" w:space="0" w:color="auto"/>
      </w:divBdr>
    </w:div>
    <w:div w:id="428232268">
      <w:bodyDiv w:val="1"/>
      <w:marLeft w:val="0"/>
      <w:marRight w:val="0"/>
      <w:marTop w:val="0"/>
      <w:marBottom w:val="0"/>
      <w:divBdr>
        <w:top w:val="none" w:sz="0" w:space="0" w:color="auto"/>
        <w:left w:val="none" w:sz="0" w:space="0" w:color="auto"/>
        <w:bottom w:val="none" w:sz="0" w:space="0" w:color="auto"/>
        <w:right w:val="none" w:sz="0" w:space="0" w:color="auto"/>
      </w:divBdr>
    </w:div>
    <w:div w:id="428698751">
      <w:bodyDiv w:val="1"/>
      <w:marLeft w:val="0"/>
      <w:marRight w:val="0"/>
      <w:marTop w:val="0"/>
      <w:marBottom w:val="0"/>
      <w:divBdr>
        <w:top w:val="none" w:sz="0" w:space="0" w:color="auto"/>
        <w:left w:val="none" w:sz="0" w:space="0" w:color="auto"/>
        <w:bottom w:val="none" w:sz="0" w:space="0" w:color="auto"/>
        <w:right w:val="none" w:sz="0" w:space="0" w:color="auto"/>
      </w:divBdr>
    </w:div>
    <w:div w:id="486285796">
      <w:bodyDiv w:val="1"/>
      <w:marLeft w:val="0"/>
      <w:marRight w:val="0"/>
      <w:marTop w:val="0"/>
      <w:marBottom w:val="0"/>
      <w:divBdr>
        <w:top w:val="none" w:sz="0" w:space="0" w:color="auto"/>
        <w:left w:val="none" w:sz="0" w:space="0" w:color="auto"/>
        <w:bottom w:val="none" w:sz="0" w:space="0" w:color="auto"/>
        <w:right w:val="none" w:sz="0" w:space="0" w:color="auto"/>
      </w:divBdr>
    </w:div>
    <w:div w:id="489903552">
      <w:bodyDiv w:val="1"/>
      <w:marLeft w:val="0"/>
      <w:marRight w:val="0"/>
      <w:marTop w:val="0"/>
      <w:marBottom w:val="0"/>
      <w:divBdr>
        <w:top w:val="none" w:sz="0" w:space="0" w:color="auto"/>
        <w:left w:val="none" w:sz="0" w:space="0" w:color="auto"/>
        <w:bottom w:val="none" w:sz="0" w:space="0" w:color="auto"/>
        <w:right w:val="none" w:sz="0" w:space="0" w:color="auto"/>
      </w:divBdr>
    </w:div>
    <w:div w:id="505828442">
      <w:bodyDiv w:val="1"/>
      <w:marLeft w:val="0"/>
      <w:marRight w:val="0"/>
      <w:marTop w:val="0"/>
      <w:marBottom w:val="0"/>
      <w:divBdr>
        <w:top w:val="none" w:sz="0" w:space="0" w:color="auto"/>
        <w:left w:val="none" w:sz="0" w:space="0" w:color="auto"/>
        <w:bottom w:val="none" w:sz="0" w:space="0" w:color="auto"/>
        <w:right w:val="none" w:sz="0" w:space="0" w:color="auto"/>
      </w:divBdr>
    </w:div>
    <w:div w:id="663584006">
      <w:bodyDiv w:val="1"/>
      <w:marLeft w:val="0"/>
      <w:marRight w:val="0"/>
      <w:marTop w:val="0"/>
      <w:marBottom w:val="0"/>
      <w:divBdr>
        <w:top w:val="none" w:sz="0" w:space="0" w:color="auto"/>
        <w:left w:val="none" w:sz="0" w:space="0" w:color="auto"/>
        <w:bottom w:val="none" w:sz="0" w:space="0" w:color="auto"/>
        <w:right w:val="none" w:sz="0" w:space="0" w:color="auto"/>
      </w:divBdr>
    </w:div>
    <w:div w:id="675497405">
      <w:bodyDiv w:val="1"/>
      <w:marLeft w:val="0"/>
      <w:marRight w:val="0"/>
      <w:marTop w:val="0"/>
      <w:marBottom w:val="0"/>
      <w:divBdr>
        <w:top w:val="none" w:sz="0" w:space="0" w:color="auto"/>
        <w:left w:val="none" w:sz="0" w:space="0" w:color="auto"/>
        <w:bottom w:val="none" w:sz="0" w:space="0" w:color="auto"/>
        <w:right w:val="none" w:sz="0" w:space="0" w:color="auto"/>
      </w:divBdr>
    </w:div>
    <w:div w:id="676733271">
      <w:bodyDiv w:val="1"/>
      <w:marLeft w:val="0"/>
      <w:marRight w:val="0"/>
      <w:marTop w:val="0"/>
      <w:marBottom w:val="0"/>
      <w:divBdr>
        <w:top w:val="none" w:sz="0" w:space="0" w:color="auto"/>
        <w:left w:val="none" w:sz="0" w:space="0" w:color="auto"/>
        <w:bottom w:val="none" w:sz="0" w:space="0" w:color="auto"/>
        <w:right w:val="none" w:sz="0" w:space="0" w:color="auto"/>
      </w:divBdr>
    </w:div>
    <w:div w:id="680160444">
      <w:bodyDiv w:val="1"/>
      <w:marLeft w:val="0"/>
      <w:marRight w:val="0"/>
      <w:marTop w:val="0"/>
      <w:marBottom w:val="0"/>
      <w:divBdr>
        <w:top w:val="none" w:sz="0" w:space="0" w:color="auto"/>
        <w:left w:val="none" w:sz="0" w:space="0" w:color="auto"/>
        <w:bottom w:val="none" w:sz="0" w:space="0" w:color="auto"/>
        <w:right w:val="none" w:sz="0" w:space="0" w:color="auto"/>
      </w:divBdr>
    </w:div>
    <w:div w:id="724767139">
      <w:bodyDiv w:val="1"/>
      <w:marLeft w:val="0"/>
      <w:marRight w:val="0"/>
      <w:marTop w:val="0"/>
      <w:marBottom w:val="0"/>
      <w:divBdr>
        <w:top w:val="none" w:sz="0" w:space="0" w:color="auto"/>
        <w:left w:val="none" w:sz="0" w:space="0" w:color="auto"/>
        <w:bottom w:val="none" w:sz="0" w:space="0" w:color="auto"/>
        <w:right w:val="none" w:sz="0" w:space="0" w:color="auto"/>
      </w:divBdr>
    </w:div>
    <w:div w:id="749278875">
      <w:bodyDiv w:val="1"/>
      <w:marLeft w:val="0"/>
      <w:marRight w:val="0"/>
      <w:marTop w:val="0"/>
      <w:marBottom w:val="0"/>
      <w:divBdr>
        <w:top w:val="none" w:sz="0" w:space="0" w:color="auto"/>
        <w:left w:val="none" w:sz="0" w:space="0" w:color="auto"/>
        <w:bottom w:val="none" w:sz="0" w:space="0" w:color="auto"/>
        <w:right w:val="none" w:sz="0" w:space="0" w:color="auto"/>
      </w:divBdr>
    </w:div>
    <w:div w:id="749348619">
      <w:bodyDiv w:val="1"/>
      <w:marLeft w:val="0"/>
      <w:marRight w:val="0"/>
      <w:marTop w:val="0"/>
      <w:marBottom w:val="0"/>
      <w:divBdr>
        <w:top w:val="none" w:sz="0" w:space="0" w:color="auto"/>
        <w:left w:val="none" w:sz="0" w:space="0" w:color="auto"/>
        <w:bottom w:val="none" w:sz="0" w:space="0" w:color="auto"/>
        <w:right w:val="none" w:sz="0" w:space="0" w:color="auto"/>
      </w:divBdr>
    </w:div>
    <w:div w:id="775948211">
      <w:bodyDiv w:val="1"/>
      <w:marLeft w:val="0"/>
      <w:marRight w:val="0"/>
      <w:marTop w:val="0"/>
      <w:marBottom w:val="0"/>
      <w:divBdr>
        <w:top w:val="none" w:sz="0" w:space="0" w:color="auto"/>
        <w:left w:val="none" w:sz="0" w:space="0" w:color="auto"/>
        <w:bottom w:val="none" w:sz="0" w:space="0" w:color="auto"/>
        <w:right w:val="none" w:sz="0" w:space="0" w:color="auto"/>
      </w:divBdr>
    </w:div>
    <w:div w:id="807627056">
      <w:bodyDiv w:val="1"/>
      <w:marLeft w:val="0"/>
      <w:marRight w:val="0"/>
      <w:marTop w:val="0"/>
      <w:marBottom w:val="0"/>
      <w:divBdr>
        <w:top w:val="none" w:sz="0" w:space="0" w:color="auto"/>
        <w:left w:val="none" w:sz="0" w:space="0" w:color="auto"/>
        <w:bottom w:val="none" w:sz="0" w:space="0" w:color="auto"/>
        <w:right w:val="none" w:sz="0" w:space="0" w:color="auto"/>
      </w:divBdr>
    </w:div>
    <w:div w:id="1025130686">
      <w:bodyDiv w:val="1"/>
      <w:marLeft w:val="0"/>
      <w:marRight w:val="0"/>
      <w:marTop w:val="0"/>
      <w:marBottom w:val="0"/>
      <w:divBdr>
        <w:top w:val="none" w:sz="0" w:space="0" w:color="auto"/>
        <w:left w:val="none" w:sz="0" w:space="0" w:color="auto"/>
        <w:bottom w:val="none" w:sz="0" w:space="0" w:color="auto"/>
        <w:right w:val="none" w:sz="0" w:space="0" w:color="auto"/>
      </w:divBdr>
    </w:div>
    <w:div w:id="1112015905">
      <w:bodyDiv w:val="1"/>
      <w:marLeft w:val="0"/>
      <w:marRight w:val="0"/>
      <w:marTop w:val="0"/>
      <w:marBottom w:val="0"/>
      <w:divBdr>
        <w:top w:val="none" w:sz="0" w:space="0" w:color="auto"/>
        <w:left w:val="none" w:sz="0" w:space="0" w:color="auto"/>
        <w:bottom w:val="none" w:sz="0" w:space="0" w:color="auto"/>
        <w:right w:val="none" w:sz="0" w:space="0" w:color="auto"/>
      </w:divBdr>
    </w:div>
    <w:div w:id="1117455048">
      <w:bodyDiv w:val="1"/>
      <w:marLeft w:val="0"/>
      <w:marRight w:val="0"/>
      <w:marTop w:val="0"/>
      <w:marBottom w:val="0"/>
      <w:divBdr>
        <w:top w:val="none" w:sz="0" w:space="0" w:color="auto"/>
        <w:left w:val="none" w:sz="0" w:space="0" w:color="auto"/>
        <w:bottom w:val="none" w:sz="0" w:space="0" w:color="auto"/>
        <w:right w:val="none" w:sz="0" w:space="0" w:color="auto"/>
      </w:divBdr>
    </w:div>
    <w:div w:id="1161312877">
      <w:bodyDiv w:val="1"/>
      <w:marLeft w:val="0"/>
      <w:marRight w:val="0"/>
      <w:marTop w:val="0"/>
      <w:marBottom w:val="0"/>
      <w:divBdr>
        <w:top w:val="none" w:sz="0" w:space="0" w:color="auto"/>
        <w:left w:val="none" w:sz="0" w:space="0" w:color="auto"/>
        <w:bottom w:val="none" w:sz="0" w:space="0" w:color="auto"/>
        <w:right w:val="none" w:sz="0" w:space="0" w:color="auto"/>
      </w:divBdr>
    </w:div>
    <w:div w:id="1262296839">
      <w:bodyDiv w:val="1"/>
      <w:marLeft w:val="0"/>
      <w:marRight w:val="0"/>
      <w:marTop w:val="0"/>
      <w:marBottom w:val="0"/>
      <w:divBdr>
        <w:top w:val="none" w:sz="0" w:space="0" w:color="auto"/>
        <w:left w:val="none" w:sz="0" w:space="0" w:color="auto"/>
        <w:bottom w:val="none" w:sz="0" w:space="0" w:color="auto"/>
        <w:right w:val="none" w:sz="0" w:space="0" w:color="auto"/>
      </w:divBdr>
    </w:div>
    <w:div w:id="1332101150">
      <w:bodyDiv w:val="1"/>
      <w:marLeft w:val="0"/>
      <w:marRight w:val="0"/>
      <w:marTop w:val="0"/>
      <w:marBottom w:val="0"/>
      <w:divBdr>
        <w:top w:val="none" w:sz="0" w:space="0" w:color="auto"/>
        <w:left w:val="none" w:sz="0" w:space="0" w:color="auto"/>
        <w:bottom w:val="none" w:sz="0" w:space="0" w:color="auto"/>
        <w:right w:val="none" w:sz="0" w:space="0" w:color="auto"/>
      </w:divBdr>
    </w:div>
    <w:div w:id="1341542138">
      <w:bodyDiv w:val="1"/>
      <w:marLeft w:val="0"/>
      <w:marRight w:val="0"/>
      <w:marTop w:val="0"/>
      <w:marBottom w:val="0"/>
      <w:divBdr>
        <w:top w:val="none" w:sz="0" w:space="0" w:color="auto"/>
        <w:left w:val="none" w:sz="0" w:space="0" w:color="auto"/>
        <w:bottom w:val="none" w:sz="0" w:space="0" w:color="auto"/>
        <w:right w:val="none" w:sz="0" w:space="0" w:color="auto"/>
      </w:divBdr>
    </w:div>
    <w:div w:id="1371372601">
      <w:bodyDiv w:val="1"/>
      <w:marLeft w:val="0"/>
      <w:marRight w:val="0"/>
      <w:marTop w:val="0"/>
      <w:marBottom w:val="0"/>
      <w:divBdr>
        <w:top w:val="none" w:sz="0" w:space="0" w:color="auto"/>
        <w:left w:val="none" w:sz="0" w:space="0" w:color="auto"/>
        <w:bottom w:val="none" w:sz="0" w:space="0" w:color="auto"/>
        <w:right w:val="none" w:sz="0" w:space="0" w:color="auto"/>
      </w:divBdr>
    </w:div>
    <w:div w:id="1408923484">
      <w:bodyDiv w:val="1"/>
      <w:marLeft w:val="0"/>
      <w:marRight w:val="0"/>
      <w:marTop w:val="0"/>
      <w:marBottom w:val="0"/>
      <w:divBdr>
        <w:top w:val="none" w:sz="0" w:space="0" w:color="auto"/>
        <w:left w:val="none" w:sz="0" w:space="0" w:color="auto"/>
        <w:bottom w:val="none" w:sz="0" w:space="0" w:color="auto"/>
        <w:right w:val="none" w:sz="0" w:space="0" w:color="auto"/>
      </w:divBdr>
    </w:div>
    <w:div w:id="1411393632">
      <w:bodyDiv w:val="1"/>
      <w:marLeft w:val="0"/>
      <w:marRight w:val="0"/>
      <w:marTop w:val="0"/>
      <w:marBottom w:val="0"/>
      <w:divBdr>
        <w:top w:val="none" w:sz="0" w:space="0" w:color="auto"/>
        <w:left w:val="none" w:sz="0" w:space="0" w:color="auto"/>
        <w:bottom w:val="none" w:sz="0" w:space="0" w:color="auto"/>
        <w:right w:val="none" w:sz="0" w:space="0" w:color="auto"/>
      </w:divBdr>
    </w:div>
    <w:div w:id="1431315539">
      <w:bodyDiv w:val="1"/>
      <w:marLeft w:val="0"/>
      <w:marRight w:val="0"/>
      <w:marTop w:val="0"/>
      <w:marBottom w:val="0"/>
      <w:divBdr>
        <w:top w:val="none" w:sz="0" w:space="0" w:color="auto"/>
        <w:left w:val="none" w:sz="0" w:space="0" w:color="auto"/>
        <w:bottom w:val="none" w:sz="0" w:space="0" w:color="auto"/>
        <w:right w:val="none" w:sz="0" w:space="0" w:color="auto"/>
      </w:divBdr>
    </w:div>
    <w:div w:id="1622178815">
      <w:bodyDiv w:val="1"/>
      <w:marLeft w:val="0"/>
      <w:marRight w:val="0"/>
      <w:marTop w:val="0"/>
      <w:marBottom w:val="0"/>
      <w:divBdr>
        <w:top w:val="none" w:sz="0" w:space="0" w:color="auto"/>
        <w:left w:val="none" w:sz="0" w:space="0" w:color="auto"/>
        <w:bottom w:val="none" w:sz="0" w:space="0" w:color="auto"/>
        <w:right w:val="none" w:sz="0" w:space="0" w:color="auto"/>
      </w:divBdr>
    </w:div>
    <w:div w:id="1696073382">
      <w:bodyDiv w:val="1"/>
      <w:marLeft w:val="0"/>
      <w:marRight w:val="0"/>
      <w:marTop w:val="0"/>
      <w:marBottom w:val="0"/>
      <w:divBdr>
        <w:top w:val="none" w:sz="0" w:space="0" w:color="auto"/>
        <w:left w:val="none" w:sz="0" w:space="0" w:color="auto"/>
        <w:bottom w:val="none" w:sz="0" w:space="0" w:color="auto"/>
        <w:right w:val="none" w:sz="0" w:space="0" w:color="auto"/>
      </w:divBdr>
    </w:div>
    <w:div w:id="1721589126">
      <w:bodyDiv w:val="1"/>
      <w:marLeft w:val="0"/>
      <w:marRight w:val="0"/>
      <w:marTop w:val="0"/>
      <w:marBottom w:val="0"/>
      <w:divBdr>
        <w:top w:val="none" w:sz="0" w:space="0" w:color="auto"/>
        <w:left w:val="none" w:sz="0" w:space="0" w:color="auto"/>
        <w:bottom w:val="none" w:sz="0" w:space="0" w:color="auto"/>
        <w:right w:val="none" w:sz="0" w:space="0" w:color="auto"/>
      </w:divBdr>
    </w:div>
    <w:div w:id="1825706425">
      <w:bodyDiv w:val="1"/>
      <w:marLeft w:val="0"/>
      <w:marRight w:val="0"/>
      <w:marTop w:val="0"/>
      <w:marBottom w:val="0"/>
      <w:divBdr>
        <w:top w:val="none" w:sz="0" w:space="0" w:color="auto"/>
        <w:left w:val="none" w:sz="0" w:space="0" w:color="auto"/>
        <w:bottom w:val="none" w:sz="0" w:space="0" w:color="auto"/>
        <w:right w:val="none" w:sz="0" w:space="0" w:color="auto"/>
      </w:divBdr>
    </w:div>
    <w:div w:id="1954172130">
      <w:bodyDiv w:val="1"/>
      <w:marLeft w:val="0"/>
      <w:marRight w:val="0"/>
      <w:marTop w:val="0"/>
      <w:marBottom w:val="0"/>
      <w:divBdr>
        <w:top w:val="none" w:sz="0" w:space="0" w:color="auto"/>
        <w:left w:val="none" w:sz="0" w:space="0" w:color="auto"/>
        <w:bottom w:val="none" w:sz="0" w:space="0" w:color="auto"/>
        <w:right w:val="none" w:sz="0" w:space="0" w:color="auto"/>
      </w:divBdr>
    </w:div>
    <w:div w:id="2023892943">
      <w:bodyDiv w:val="1"/>
      <w:marLeft w:val="0"/>
      <w:marRight w:val="0"/>
      <w:marTop w:val="0"/>
      <w:marBottom w:val="0"/>
      <w:divBdr>
        <w:top w:val="none" w:sz="0" w:space="0" w:color="auto"/>
        <w:left w:val="none" w:sz="0" w:space="0" w:color="auto"/>
        <w:bottom w:val="none" w:sz="0" w:space="0" w:color="auto"/>
        <w:right w:val="none" w:sz="0" w:space="0" w:color="auto"/>
      </w:divBdr>
    </w:div>
    <w:div w:id="2061517012">
      <w:bodyDiv w:val="1"/>
      <w:marLeft w:val="0"/>
      <w:marRight w:val="0"/>
      <w:marTop w:val="0"/>
      <w:marBottom w:val="0"/>
      <w:divBdr>
        <w:top w:val="none" w:sz="0" w:space="0" w:color="auto"/>
        <w:left w:val="none" w:sz="0" w:space="0" w:color="auto"/>
        <w:bottom w:val="none" w:sz="0" w:space="0" w:color="auto"/>
        <w:right w:val="none" w:sz="0" w:space="0" w:color="auto"/>
      </w:divBdr>
    </w:div>
    <w:div w:id="2095274929">
      <w:bodyDiv w:val="1"/>
      <w:marLeft w:val="0"/>
      <w:marRight w:val="0"/>
      <w:marTop w:val="0"/>
      <w:marBottom w:val="0"/>
      <w:divBdr>
        <w:top w:val="none" w:sz="0" w:space="0" w:color="auto"/>
        <w:left w:val="none" w:sz="0" w:space="0" w:color="auto"/>
        <w:bottom w:val="none" w:sz="0" w:space="0" w:color="auto"/>
        <w:right w:val="none" w:sz="0" w:space="0" w:color="auto"/>
      </w:divBdr>
    </w:div>
    <w:div w:id="21448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controller.osu.edu/acc/acc-doc-genled.shtm" TargetMode="External"/><Relationship Id="rId2" Type="http://schemas.openxmlformats.org/officeDocument/2006/relationships/hyperlink" Target="http://www.utdallas.edu/afr/files/FY15YECoordinationMeeting.pdf" TargetMode="External"/><Relationship Id="rId1" Type="http://schemas.openxmlformats.org/officeDocument/2006/relationships/hyperlink" Target="http://afs.ucdavis.edu/systems/kuali/fiscal-close/accruals-deferrals.html" TargetMode="External"/><Relationship Id="rId6" Type="http://schemas.openxmlformats.org/officeDocument/2006/relationships/hyperlink" Target="http://www.utdallas.edu/afr/files/FY15YECoordinationMeeting.pdf" TargetMode="External"/><Relationship Id="rId5" Type="http://schemas.openxmlformats.org/officeDocument/2006/relationships/hyperlink" Target="http://controller.osu.edu/acc/acc-doc-genled.shtm" TargetMode="External"/><Relationship Id="rId4" Type="http://schemas.openxmlformats.org/officeDocument/2006/relationships/hyperlink" Target="https://finance.princeton.edu/how-to/financial-management/year-end-close/year-end-accruals/index.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ECB62-6A46-4C59-93B8-08BE61FE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3583</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RIVERSIDE: AUDIT &amp; ADVISORY SERVICES</vt:lpstr>
    </vt:vector>
  </TitlesOfParts>
  <Company>Microsoft</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RIVERSIDE: AUDIT &amp; ADVISORY SERVICES</dc:title>
  <dc:subject/>
  <dc:creator>lbishin</dc:creator>
  <cp:keywords/>
  <dc:description/>
  <cp:lastModifiedBy>Laura G Bishin</cp:lastModifiedBy>
  <cp:revision>4</cp:revision>
  <cp:lastPrinted>2018-01-11T23:27:00Z</cp:lastPrinted>
  <dcterms:created xsi:type="dcterms:W3CDTF">2018-12-20T21:56:00Z</dcterms:created>
  <dcterms:modified xsi:type="dcterms:W3CDTF">2018-12-20T21:56:00Z</dcterms:modified>
</cp:coreProperties>
</file>