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DFC" w:rsidRPr="000A70DC" w:rsidRDefault="00ED1DFC" w:rsidP="00586F73">
      <w:pPr>
        <w:spacing w:after="0" w:line="360" w:lineRule="auto"/>
        <w:jc w:val="right"/>
        <w:rPr>
          <w:rFonts w:ascii="Arial" w:hAnsi="Arial"/>
          <w:b/>
          <w:color w:val="FF0000"/>
          <w:sz w:val="28"/>
          <w:szCs w:val="28"/>
        </w:rPr>
      </w:pPr>
      <w:bookmarkStart w:id="0" w:name="_GoBack"/>
      <w:bookmarkEnd w:id="0"/>
      <w:r w:rsidRPr="000A70DC">
        <w:rPr>
          <w:rFonts w:ascii="Arial" w:hAnsi="Arial"/>
          <w:b/>
          <w:color w:val="FF0000"/>
          <w:sz w:val="28"/>
          <w:szCs w:val="28"/>
        </w:rPr>
        <w:t>CONFIDENTIAL</w:t>
      </w:r>
    </w:p>
    <w:p w:rsidR="00ED1DFC" w:rsidRPr="00586F73" w:rsidRDefault="00ED1DFC" w:rsidP="00586F73">
      <w:pPr>
        <w:spacing w:after="0" w:line="360" w:lineRule="auto"/>
        <w:jc w:val="center"/>
        <w:rPr>
          <w:rFonts w:ascii="Arial" w:hAnsi="Arial" w:cs="Arial"/>
          <w:sz w:val="24"/>
          <w:szCs w:val="24"/>
        </w:rPr>
      </w:pPr>
    </w:p>
    <w:p w:rsidR="00586F73" w:rsidRPr="00586F73" w:rsidRDefault="00586F73" w:rsidP="00586F73">
      <w:pPr>
        <w:spacing w:after="0" w:line="360" w:lineRule="auto"/>
        <w:jc w:val="center"/>
        <w:rPr>
          <w:rFonts w:ascii="Arial" w:hAnsi="Arial" w:cs="Arial"/>
          <w:sz w:val="24"/>
          <w:szCs w:val="24"/>
        </w:rPr>
      </w:pPr>
    </w:p>
    <w:p w:rsidR="00586F73" w:rsidRPr="00586F73" w:rsidRDefault="00586F73" w:rsidP="00586F73">
      <w:pPr>
        <w:spacing w:after="0" w:line="360" w:lineRule="auto"/>
        <w:jc w:val="center"/>
        <w:rPr>
          <w:rFonts w:ascii="Arial" w:hAnsi="Arial" w:cs="Arial"/>
          <w:sz w:val="24"/>
          <w:szCs w:val="24"/>
        </w:rPr>
      </w:pPr>
    </w:p>
    <w:p w:rsidR="00ED1DFC" w:rsidRPr="00586F73" w:rsidRDefault="00ED1DFC" w:rsidP="00586F73">
      <w:pPr>
        <w:spacing w:after="0" w:line="360" w:lineRule="auto"/>
        <w:jc w:val="center"/>
        <w:rPr>
          <w:rFonts w:ascii="Arial" w:hAnsi="Arial" w:cs="Arial"/>
          <w:sz w:val="24"/>
          <w:szCs w:val="24"/>
        </w:rPr>
      </w:pPr>
    </w:p>
    <w:p w:rsidR="001C22E1" w:rsidRPr="00586F73" w:rsidRDefault="001C22E1" w:rsidP="00586F73">
      <w:pPr>
        <w:spacing w:after="0" w:line="360" w:lineRule="auto"/>
        <w:jc w:val="center"/>
        <w:rPr>
          <w:rFonts w:ascii="Arial" w:hAnsi="Arial" w:cs="Arial"/>
          <w:sz w:val="24"/>
          <w:szCs w:val="24"/>
        </w:rPr>
      </w:pPr>
    </w:p>
    <w:p w:rsidR="00ED1DFC" w:rsidRPr="00586F73" w:rsidRDefault="00307C52" w:rsidP="00586F73">
      <w:pPr>
        <w:spacing w:after="0" w:line="360" w:lineRule="auto"/>
        <w:jc w:val="center"/>
        <w:rPr>
          <w:rFonts w:ascii="Arial" w:hAnsi="Arial" w:cs="Arial"/>
          <w:sz w:val="24"/>
          <w:szCs w:val="24"/>
        </w:rPr>
      </w:pPr>
      <w:r w:rsidRPr="00586F73">
        <w:rPr>
          <w:rFonts w:ascii="Arial" w:hAnsi="Arial" w:cs="Arial"/>
          <w:sz w:val="24"/>
          <w:szCs w:val="24"/>
        </w:rPr>
        <w:t>DE</w:t>
      </w:r>
      <w:r w:rsidR="00ED1DFC" w:rsidRPr="00586F73">
        <w:rPr>
          <w:rFonts w:ascii="Arial" w:hAnsi="Arial" w:cs="Arial"/>
          <w:sz w:val="24"/>
          <w:szCs w:val="24"/>
        </w:rPr>
        <w:t>PARTMENT OF NEUROLOGY GIFT FUND EXPENDITURES</w:t>
      </w:r>
    </w:p>
    <w:p w:rsidR="00ED1DFC" w:rsidRPr="00586F73" w:rsidRDefault="00ED1DFC" w:rsidP="00586F73">
      <w:pPr>
        <w:spacing w:after="0" w:line="360" w:lineRule="auto"/>
        <w:jc w:val="center"/>
        <w:rPr>
          <w:rFonts w:ascii="Arial" w:hAnsi="Arial" w:cs="Arial"/>
          <w:sz w:val="24"/>
          <w:szCs w:val="24"/>
        </w:rPr>
      </w:pPr>
      <w:r w:rsidRPr="00586F73">
        <w:rPr>
          <w:rFonts w:ascii="Arial" w:hAnsi="Arial" w:cs="Arial"/>
          <w:sz w:val="24"/>
          <w:szCs w:val="24"/>
        </w:rPr>
        <w:t xml:space="preserve"> AUDIT REPORT #18-601802C</w:t>
      </w:r>
    </w:p>
    <w:p w:rsidR="00586F73" w:rsidRPr="00586F73" w:rsidRDefault="00586F73" w:rsidP="00586F73">
      <w:pPr>
        <w:spacing w:after="0" w:line="360" w:lineRule="auto"/>
        <w:jc w:val="center"/>
        <w:rPr>
          <w:rFonts w:ascii="Arial" w:hAnsi="Arial" w:cs="Arial"/>
          <w:sz w:val="24"/>
          <w:szCs w:val="24"/>
        </w:rPr>
      </w:pPr>
    </w:p>
    <w:p w:rsidR="00586F73" w:rsidRPr="00586F73" w:rsidRDefault="00586F73" w:rsidP="00586F73">
      <w:pPr>
        <w:spacing w:after="0" w:line="360" w:lineRule="auto"/>
        <w:jc w:val="center"/>
        <w:rPr>
          <w:rFonts w:ascii="Arial" w:hAnsi="Arial" w:cs="Arial"/>
          <w:sz w:val="24"/>
          <w:szCs w:val="24"/>
        </w:rPr>
      </w:pPr>
    </w:p>
    <w:p w:rsidR="00586F73" w:rsidRPr="00586F73" w:rsidRDefault="00586F73" w:rsidP="00586F73">
      <w:pPr>
        <w:spacing w:after="0" w:line="360" w:lineRule="auto"/>
        <w:jc w:val="center"/>
        <w:rPr>
          <w:rFonts w:ascii="Arial" w:hAnsi="Arial" w:cs="Arial"/>
          <w:sz w:val="24"/>
          <w:szCs w:val="24"/>
        </w:rPr>
      </w:pPr>
    </w:p>
    <w:p w:rsidR="00586F73" w:rsidRPr="00586F73" w:rsidRDefault="00586F73" w:rsidP="00586F73">
      <w:pPr>
        <w:spacing w:after="0" w:line="360" w:lineRule="auto"/>
        <w:jc w:val="center"/>
        <w:rPr>
          <w:rFonts w:ascii="Arial" w:hAnsi="Arial" w:cs="Arial"/>
          <w:sz w:val="24"/>
          <w:szCs w:val="24"/>
        </w:rPr>
      </w:pPr>
    </w:p>
    <w:p w:rsidR="00ED1DFC" w:rsidRPr="00586F73" w:rsidRDefault="00ED1DFC" w:rsidP="00586F73">
      <w:pPr>
        <w:spacing w:after="0" w:line="360" w:lineRule="auto"/>
        <w:jc w:val="center"/>
        <w:rPr>
          <w:rFonts w:ascii="Arial" w:hAnsi="Arial" w:cs="Arial"/>
          <w:sz w:val="24"/>
          <w:szCs w:val="24"/>
        </w:rPr>
      </w:pPr>
    </w:p>
    <w:p w:rsidR="00ED1DFC" w:rsidRPr="00586F73" w:rsidRDefault="00ED1DFC" w:rsidP="00586F73">
      <w:pPr>
        <w:spacing w:after="0" w:line="360" w:lineRule="auto"/>
        <w:jc w:val="center"/>
        <w:rPr>
          <w:rFonts w:ascii="Arial" w:hAnsi="Arial" w:cs="Arial"/>
          <w:sz w:val="24"/>
          <w:szCs w:val="24"/>
        </w:rPr>
      </w:pPr>
    </w:p>
    <w:p w:rsidR="00ED1DFC" w:rsidRPr="00586F73" w:rsidRDefault="00ED1DFC" w:rsidP="00586F73">
      <w:pPr>
        <w:spacing w:after="0" w:line="360" w:lineRule="auto"/>
        <w:jc w:val="center"/>
        <w:rPr>
          <w:rFonts w:ascii="Arial" w:hAnsi="Arial" w:cs="Arial"/>
          <w:sz w:val="24"/>
          <w:szCs w:val="24"/>
        </w:rPr>
      </w:pPr>
    </w:p>
    <w:p w:rsidR="00ED1DFC" w:rsidRPr="00586F73" w:rsidRDefault="00ED1DFC" w:rsidP="00586F73">
      <w:pPr>
        <w:spacing w:after="0" w:line="360" w:lineRule="auto"/>
        <w:jc w:val="center"/>
        <w:rPr>
          <w:rFonts w:ascii="Arial" w:hAnsi="Arial" w:cs="Arial"/>
          <w:sz w:val="24"/>
          <w:szCs w:val="24"/>
        </w:rPr>
      </w:pPr>
    </w:p>
    <w:p w:rsidR="00ED1DFC" w:rsidRPr="00586F73" w:rsidRDefault="00ED1DFC" w:rsidP="00586F73">
      <w:pPr>
        <w:spacing w:after="0" w:line="360" w:lineRule="auto"/>
        <w:jc w:val="center"/>
        <w:rPr>
          <w:rFonts w:ascii="Arial" w:hAnsi="Arial" w:cs="Arial"/>
          <w:sz w:val="24"/>
          <w:szCs w:val="24"/>
        </w:rPr>
      </w:pPr>
    </w:p>
    <w:p w:rsidR="00ED1DFC" w:rsidRPr="00586F73" w:rsidRDefault="00ED1DFC" w:rsidP="00586F73">
      <w:pPr>
        <w:spacing w:after="0" w:line="360" w:lineRule="auto"/>
        <w:jc w:val="center"/>
        <w:rPr>
          <w:rFonts w:ascii="Arial" w:hAnsi="Arial" w:cs="Arial"/>
          <w:sz w:val="24"/>
          <w:szCs w:val="24"/>
        </w:rPr>
      </w:pPr>
    </w:p>
    <w:p w:rsidR="00ED1DFC" w:rsidRPr="00586F73" w:rsidRDefault="00ED1DFC" w:rsidP="00586F73">
      <w:pPr>
        <w:spacing w:after="0" w:line="360" w:lineRule="auto"/>
        <w:jc w:val="center"/>
        <w:rPr>
          <w:rFonts w:ascii="Arial" w:hAnsi="Arial" w:cs="Arial"/>
          <w:sz w:val="24"/>
          <w:szCs w:val="24"/>
        </w:rPr>
      </w:pPr>
    </w:p>
    <w:p w:rsidR="00ED1DFC" w:rsidRPr="00586F73" w:rsidRDefault="00ED1DFC" w:rsidP="001620E5">
      <w:pPr>
        <w:spacing w:line="360" w:lineRule="auto"/>
        <w:rPr>
          <w:rFonts w:ascii="Arial" w:hAnsi="Arial" w:cs="Arial"/>
          <w:sz w:val="24"/>
          <w:szCs w:val="24"/>
        </w:rPr>
      </w:pPr>
    </w:p>
    <w:p w:rsidR="001620E5" w:rsidRDefault="00ED1DFC" w:rsidP="001620E5">
      <w:pPr>
        <w:spacing w:after="0" w:line="276" w:lineRule="auto"/>
        <w:jc w:val="center"/>
        <w:rPr>
          <w:rFonts w:ascii="Arial" w:hAnsi="Arial" w:cs="Arial"/>
          <w:sz w:val="16"/>
          <w:szCs w:val="16"/>
        </w:rPr>
      </w:pPr>
      <w:r>
        <w:rPr>
          <w:rFonts w:ascii="Arial" w:hAnsi="Arial" w:cs="Arial"/>
          <w:sz w:val="16"/>
          <w:szCs w:val="16"/>
        </w:rPr>
        <w:t>Audit &amp; Advisory Services</w:t>
      </w:r>
    </w:p>
    <w:p w:rsidR="001620E5" w:rsidRDefault="000557EE" w:rsidP="001620E5">
      <w:pPr>
        <w:spacing w:after="0" w:line="240" w:lineRule="auto"/>
        <w:jc w:val="center"/>
        <w:rPr>
          <w:rFonts w:ascii="Arial" w:hAnsi="Arial" w:cs="Arial"/>
          <w:sz w:val="16"/>
          <w:szCs w:val="16"/>
        </w:rPr>
      </w:pPr>
      <w:r>
        <w:rPr>
          <w:rFonts w:ascii="Arial" w:hAnsi="Arial" w:cs="Arial"/>
          <w:sz w:val="16"/>
          <w:szCs w:val="16"/>
        </w:rPr>
        <w:t>June</w:t>
      </w:r>
      <w:r w:rsidR="001620E5">
        <w:rPr>
          <w:rFonts w:ascii="Arial" w:hAnsi="Arial" w:cs="Arial"/>
          <w:sz w:val="16"/>
          <w:szCs w:val="16"/>
        </w:rPr>
        <w:t xml:space="preserve"> 2018</w:t>
      </w:r>
    </w:p>
    <w:p w:rsidR="00ED1DFC" w:rsidRDefault="00ED1DFC" w:rsidP="00ED1DFC">
      <w:pPr>
        <w:jc w:val="center"/>
        <w:rPr>
          <w:rFonts w:ascii="Arial" w:hAnsi="Arial" w:cs="Arial"/>
          <w:sz w:val="16"/>
          <w:szCs w:val="16"/>
        </w:rPr>
      </w:pPr>
    </w:p>
    <w:p w:rsidR="001620E5" w:rsidRDefault="001620E5" w:rsidP="00ED1DFC">
      <w:pPr>
        <w:jc w:val="center"/>
        <w:rPr>
          <w:rFonts w:ascii="Arial" w:hAnsi="Arial" w:cs="Arial"/>
          <w:sz w:val="16"/>
          <w:szCs w:val="16"/>
        </w:rPr>
        <w:sectPr w:rsidR="001620E5" w:rsidSect="001C22E1">
          <w:footerReference w:type="even" r:id="rId7"/>
          <w:footerReference w:type="first" r:id="rId8"/>
          <w:pgSz w:w="15840" w:h="12240" w:orient="landscape" w:code="1"/>
          <w:pgMar w:top="1440" w:right="1440" w:bottom="1440" w:left="1440" w:header="720" w:footer="720" w:gutter="0"/>
          <w:cols w:space="720"/>
          <w:docGrid w:linePitch="360"/>
        </w:sectPr>
      </w:pPr>
    </w:p>
    <w:p w:rsidR="00ED1DFC" w:rsidRPr="00586F73" w:rsidRDefault="00ED1DFC" w:rsidP="00586F73">
      <w:pPr>
        <w:spacing w:after="0" w:line="360" w:lineRule="auto"/>
        <w:jc w:val="center"/>
        <w:rPr>
          <w:rFonts w:ascii="Arial" w:hAnsi="Arial" w:cs="Arial"/>
          <w:sz w:val="24"/>
          <w:szCs w:val="24"/>
        </w:rPr>
      </w:pPr>
      <w:r w:rsidRPr="00586F73">
        <w:rPr>
          <w:rFonts w:ascii="Arial" w:hAnsi="Arial" w:cs="Arial"/>
          <w:sz w:val="24"/>
          <w:szCs w:val="24"/>
        </w:rPr>
        <w:lastRenderedPageBreak/>
        <w:t xml:space="preserve">DEPARTMENT OF </w:t>
      </w:r>
      <w:r w:rsidR="00171DBB" w:rsidRPr="00586F73">
        <w:rPr>
          <w:rFonts w:ascii="Arial" w:hAnsi="Arial" w:cs="Arial"/>
          <w:sz w:val="24"/>
          <w:szCs w:val="24"/>
        </w:rPr>
        <w:t>NEUROLOGY</w:t>
      </w:r>
      <w:r w:rsidRPr="00586F73">
        <w:rPr>
          <w:rFonts w:ascii="Arial" w:hAnsi="Arial" w:cs="Arial"/>
          <w:sz w:val="24"/>
          <w:szCs w:val="24"/>
        </w:rPr>
        <w:t xml:space="preserve"> GIFT FUND EXPENDITURES</w:t>
      </w:r>
    </w:p>
    <w:p w:rsidR="00ED1DFC" w:rsidRPr="00586F73" w:rsidRDefault="00ED1DFC" w:rsidP="00586F73">
      <w:pPr>
        <w:spacing w:after="0" w:line="360" w:lineRule="auto"/>
        <w:jc w:val="center"/>
        <w:rPr>
          <w:rFonts w:ascii="Arial" w:hAnsi="Arial" w:cs="Arial"/>
          <w:sz w:val="24"/>
          <w:szCs w:val="24"/>
        </w:rPr>
      </w:pPr>
      <w:r w:rsidRPr="00586F73">
        <w:rPr>
          <w:rFonts w:ascii="Arial" w:hAnsi="Arial" w:cs="Arial"/>
          <w:sz w:val="24"/>
          <w:szCs w:val="24"/>
        </w:rPr>
        <w:t>AUDIT REPORT #18-601802</w:t>
      </w:r>
      <w:r w:rsidR="00307C52" w:rsidRPr="00586F73">
        <w:rPr>
          <w:rFonts w:ascii="Arial" w:hAnsi="Arial" w:cs="Arial"/>
          <w:sz w:val="24"/>
          <w:szCs w:val="24"/>
        </w:rPr>
        <w:t>C</w:t>
      </w:r>
    </w:p>
    <w:p w:rsidR="00ED1DFC" w:rsidRPr="00586F73" w:rsidRDefault="00ED1DFC" w:rsidP="00586F73">
      <w:pPr>
        <w:spacing w:after="0" w:line="360" w:lineRule="auto"/>
        <w:jc w:val="both"/>
        <w:rPr>
          <w:rFonts w:ascii="Arial" w:hAnsi="Arial" w:cs="Arial"/>
          <w:sz w:val="24"/>
          <w:szCs w:val="24"/>
        </w:rPr>
      </w:pPr>
    </w:p>
    <w:p w:rsidR="00ED1DFC" w:rsidRPr="00586F73" w:rsidRDefault="00ED1DFC" w:rsidP="00586F73">
      <w:pPr>
        <w:spacing w:after="0" w:line="360" w:lineRule="auto"/>
        <w:jc w:val="both"/>
        <w:rPr>
          <w:rFonts w:ascii="Arial" w:hAnsi="Arial" w:cs="Arial"/>
          <w:sz w:val="24"/>
          <w:szCs w:val="24"/>
          <w:u w:val="single"/>
        </w:rPr>
      </w:pPr>
      <w:r w:rsidRPr="00586F73">
        <w:rPr>
          <w:rFonts w:ascii="Arial" w:hAnsi="Arial" w:cs="Arial"/>
          <w:sz w:val="24"/>
          <w:szCs w:val="24"/>
          <w:u w:val="single"/>
        </w:rPr>
        <w:t>Background</w:t>
      </w:r>
    </w:p>
    <w:p w:rsidR="00171DBB" w:rsidRPr="00586F73" w:rsidRDefault="00171DBB" w:rsidP="00586F73">
      <w:pPr>
        <w:spacing w:after="0" w:line="360" w:lineRule="auto"/>
        <w:jc w:val="both"/>
        <w:rPr>
          <w:rFonts w:ascii="Arial" w:hAnsi="Arial" w:cs="Arial"/>
          <w:sz w:val="24"/>
          <w:szCs w:val="24"/>
        </w:rPr>
      </w:pPr>
    </w:p>
    <w:p w:rsidR="00700FD3" w:rsidRDefault="00ED1DFC" w:rsidP="00700FD3">
      <w:pPr>
        <w:spacing w:after="0" w:line="360" w:lineRule="auto"/>
        <w:jc w:val="both"/>
        <w:rPr>
          <w:rFonts w:ascii="Arial" w:hAnsi="Arial" w:cs="Arial"/>
          <w:sz w:val="16"/>
          <w:szCs w:val="16"/>
        </w:rPr>
      </w:pPr>
      <w:r w:rsidRPr="00586F73">
        <w:rPr>
          <w:rFonts w:ascii="Arial" w:hAnsi="Arial" w:cs="Arial"/>
          <w:sz w:val="24"/>
          <w:szCs w:val="24"/>
        </w:rPr>
        <w:t xml:space="preserve">As part of the Health Sciences audit plan for 2017-18, UCLA Audit &amp; Advisory Services (A&amp;AS) conducted an audit of expenditures charged to David Geffen School of Medicine (DGSOM) gift funds, including Department of </w:t>
      </w:r>
      <w:r w:rsidR="00171DBB" w:rsidRPr="00586F73">
        <w:rPr>
          <w:rFonts w:ascii="Arial" w:hAnsi="Arial" w:cs="Arial"/>
          <w:sz w:val="24"/>
          <w:szCs w:val="24"/>
        </w:rPr>
        <w:t>Neurology</w:t>
      </w:r>
      <w:r w:rsidRPr="00586F73">
        <w:rPr>
          <w:rFonts w:ascii="Arial" w:hAnsi="Arial" w:cs="Arial"/>
          <w:sz w:val="24"/>
          <w:szCs w:val="24"/>
        </w:rPr>
        <w:t xml:space="preserve"> gift funds.  The Department of </w:t>
      </w:r>
      <w:r w:rsidR="00171DBB" w:rsidRPr="00586F73">
        <w:rPr>
          <w:rFonts w:ascii="Arial" w:hAnsi="Arial" w:cs="Arial"/>
          <w:sz w:val="24"/>
          <w:szCs w:val="24"/>
        </w:rPr>
        <w:t>Neurology</w:t>
      </w:r>
      <w:r w:rsidRPr="00586F73">
        <w:rPr>
          <w:rFonts w:ascii="Arial" w:hAnsi="Arial" w:cs="Arial"/>
          <w:sz w:val="24"/>
          <w:szCs w:val="24"/>
        </w:rPr>
        <w:t xml:space="preserve"> was one of three DGSOM departments selected for inclusion in the audit based on the volume of aggregated expenditures charged to gift funds in 2016-17.  Below is a summary of Department of </w:t>
      </w:r>
      <w:r w:rsidR="00636DB7" w:rsidRPr="00586F73">
        <w:rPr>
          <w:rFonts w:ascii="Arial" w:hAnsi="Arial" w:cs="Arial"/>
          <w:sz w:val="24"/>
          <w:szCs w:val="24"/>
        </w:rPr>
        <w:t>Neurology</w:t>
      </w:r>
      <w:r w:rsidRPr="00586F73">
        <w:rPr>
          <w:rFonts w:ascii="Arial" w:hAnsi="Arial" w:cs="Arial"/>
          <w:sz w:val="24"/>
          <w:szCs w:val="24"/>
        </w:rPr>
        <w:t xml:space="preserve"> gift fund activity during fiscal year 2016-17. </w:t>
      </w:r>
    </w:p>
    <w:p w:rsidR="00586F73" w:rsidRPr="00586F73" w:rsidRDefault="00586F73" w:rsidP="00586F73">
      <w:pPr>
        <w:spacing w:after="0" w:line="240" w:lineRule="auto"/>
        <w:jc w:val="both"/>
        <w:rPr>
          <w:rFonts w:ascii="Arial" w:hAnsi="Arial" w:cs="Arial"/>
          <w:szCs w:val="16"/>
        </w:rPr>
      </w:pPr>
    </w:p>
    <w:tbl>
      <w:tblPr>
        <w:tblpPr w:leftFromText="180" w:rightFromText="180" w:vertAnchor="text" w:horzAnchor="margin" w:tblpXSpec="center" w:tblpY="2"/>
        <w:tblW w:w="12751" w:type="dxa"/>
        <w:tblLook w:val="04A0" w:firstRow="1" w:lastRow="0" w:firstColumn="1" w:lastColumn="0" w:noHBand="0" w:noVBand="1"/>
      </w:tblPr>
      <w:tblGrid>
        <w:gridCol w:w="1290"/>
        <w:gridCol w:w="1075"/>
        <w:gridCol w:w="1700"/>
        <w:gridCol w:w="1577"/>
        <w:gridCol w:w="1762"/>
        <w:gridCol w:w="1946"/>
        <w:gridCol w:w="1577"/>
        <w:gridCol w:w="1824"/>
      </w:tblGrid>
      <w:tr w:rsidR="00586F73" w:rsidTr="00AC2BC4">
        <w:trPr>
          <w:trHeight w:val="928"/>
        </w:trPr>
        <w:tc>
          <w:tcPr>
            <w:tcW w:w="1290" w:type="dxa"/>
            <w:tcBorders>
              <w:top w:val="single" w:sz="4" w:space="0" w:color="536895"/>
              <w:left w:val="single" w:sz="4" w:space="0" w:color="536895"/>
              <w:bottom w:val="nil"/>
              <w:right w:val="nil"/>
            </w:tcBorders>
            <w:shd w:val="clear" w:color="000000" w:fill="E5EBEB"/>
            <w:hideMark/>
          </w:tcPr>
          <w:p w:rsidR="00586F73" w:rsidRDefault="00586F73" w:rsidP="0058239C">
            <w:pPr>
              <w:rPr>
                <w:rFonts w:ascii="Calibri" w:hAnsi="Calibri"/>
                <w:b/>
                <w:bCs/>
                <w:color w:val="000000"/>
              </w:rPr>
            </w:pPr>
            <w:r>
              <w:rPr>
                <w:rFonts w:ascii="Calibri" w:hAnsi="Calibri"/>
                <w:b/>
                <w:bCs/>
                <w:noProof/>
                <w:color w:val="000000"/>
                <w:lang w:eastAsia="en-US"/>
              </w:rPr>
              <w:drawing>
                <wp:anchor distT="0" distB="0" distL="114300" distR="114300" simplePos="0" relativeHeight="251659264" behindDoc="0" locked="0" layoutInCell="1" allowOverlap="1" wp14:anchorId="2D0014B9" wp14:editId="7727C7D5">
                  <wp:simplePos x="0" y="0"/>
                  <wp:positionH relativeFrom="column">
                    <wp:posOffset>0</wp:posOffset>
                  </wp:positionH>
                  <wp:positionV relativeFrom="paragraph">
                    <wp:posOffset>-190500</wp:posOffset>
                  </wp:positionV>
                  <wp:extent cx="914400" cy="228600"/>
                  <wp:effectExtent l="0" t="0" r="0" b="0"/>
                  <wp:wrapNone/>
                  <wp:docPr id="34" name="Picture 34" hidden="1">
                    <a:extLst xmlns:a="http://schemas.openxmlformats.org/drawingml/2006/main">
                      <a:ext uri="{63B3BB69-23CF-44E3-9099-C40C66FF867C}">
                        <a14:compatExt xmlns:a14="http://schemas.microsoft.com/office/drawing/2010/main" spid="_x0000_s4097"/>
                      </a:ext>
                    </a:extLst>
                  </wp:docPr>
                  <wp:cNvGraphicFramePr/>
                  <a:graphic xmlns:a="http://schemas.openxmlformats.org/drawingml/2006/main">
                    <a:graphicData uri="http://schemas.openxmlformats.org/drawingml/2006/picture">
                      <pic:pic xmlns:pic="http://schemas.openxmlformats.org/drawingml/2006/picture">
                        <pic:nvPicPr>
                          <pic:cNvPr id="2" name="Control 1" hidden="1">
                            <a:extLst>
                              <a:ext uri="{63B3BB69-23CF-44E3-9099-C40C66FF867C}">
                                <a14:compatExt xmlns:a14="http://schemas.microsoft.com/office/drawing/2010/main" spid="_x0000_s4097"/>
                              </a:ext>
                            </a:extLst>
                          </pic:cNvPr>
                          <pic:cNvPicPr>
                            <a:picLocks noChangeAspect="1"/>
                          </pic:cNvPicPr>
                        </pic:nvPicPr>
                        <pic:blipFill>
                          <a:blip r:embed="rId9"/>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b/>
                <w:bCs/>
                <w:noProof/>
                <w:color w:val="000000"/>
                <w:lang w:eastAsia="en-US"/>
              </w:rPr>
              <w:drawing>
                <wp:anchor distT="0" distB="0" distL="114300" distR="114300" simplePos="0" relativeHeight="251660288" behindDoc="0" locked="0" layoutInCell="1" allowOverlap="1" wp14:anchorId="4C2A3349" wp14:editId="09FE4992">
                  <wp:simplePos x="0" y="0"/>
                  <wp:positionH relativeFrom="column">
                    <wp:posOffset>619125</wp:posOffset>
                  </wp:positionH>
                  <wp:positionV relativeFrom="paragraph">
                    <wp:posOffset>-190500</wp:posOffset>
                  </wp:positionV>
                  <wp:extent cx="914400" cy="228600"/>
                  <wp:effectExtent l="0" t="0" r="0" b="0"/>
                  <wp:wrapNone/>
                  <wp:docPr id="33" name="Picture 33" hidden="1">
                    <a:extLst xmlns:a="http://schemas.openxmlformats.org/drawingml/2006/main">
                      <a:ext uri="{63B3BB69-23CF-44E3-9099-C40C66FF867C}">
                        <a14:compatExt xmlns:a14="http://schemas.microsoft.com/office/drawing/2010/main" spid="_x0000_s4098"/>
                      </a:ext>
                    </a:extLst>
                  </wp:docPr>
                  <wp:cNvGraphicFramePr/>
                  <a:graphic xmlns:a="http://schemas.openxmlformats.org/drawingml/2006/main">
                    <a:graphicData uri="http://schemas.openxmlformats.org/drawingml/2006/picture">
                      <pic:pic xmlns:pic="http://schemas.openxmlformats.org/drawingml/2006/picture">
                        <pic:nvPicPr>
                          <pic:cNvPr id="2" name="Control 2" hidden="1">
                            <a:extLst>
                              <a:ext uri="{63B3BB69-23CF-44E3-9099-C40C66FF867C}">
                                <a14:compatExt xmlns:a14="http://schemas.microsoft.com/office/drawing/2010/main" spid="_x0000_s4098"/>
                              </a:ext>
                            </a:extLst>
                          </pic:cNvPr>
                          <pic:cNvPicPr>
                            <a:picLocks noChangeAspect="1"/>
                          </pic:cNvPicPr>
                        </pic:nvPicPr>
                        <pic:blipFill>
                          <a:blip r:embed="rId10"/>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1074" w:type="dxa"/>
            <w:tcBorders>
              <w:top w:val="single" w:sz="4" w:space="0" w:color="536895"/>
              <w:left w:val="nil"/>
              <w:bottom w:val="nil"/>
              <w:right w:val="nil"/>
            </w:tcBorders>
            <w:shd w:val="clear" w:color="000000" w:fill="E5EBEB"/>
            <w:noWrap/>
            <w:vAlign w:val="center"/>
            <w:hideMark/>
          </w:tcPr>
          <w:p w:rsidR="00586F73" w:rsidRDefault="00586F73" w:rsidP="0058239C">
            <w:pPr>
              <w:rPr>
                <w:rFonts w:ascii="Calibri" w:hAnsi="Calibri"/>
                <w:b/>
                <w:bCs/>
                <w:color w:val="000000"/>
              </w:rPr>
            </w:pPr>
          </w:p>
        </w:tc>
        <w:tc>
          <w:tcPr>
            <w:tcW w:w="1700" w:type="dxa"/>
            <w:tcBorders>
              <w:top w:val="single" w:sz="4" w:space="0" w:color="auto"/>
              <w:left w:val="single" w:sz="4" w:space="0" w:color="auto"/>
              <w:bottom w:val="single" w:sz="4" w:space="0" w:color="auto"/>
              <w:right w:val="single" w:sz="4" w:space="0" w:color="auto"/>
            </w:tcBorders>
            <w:shd w:val="clear" w:color="000000" w:fill="E5EBEB"/>
            <w:vAlign w:val="center"/>
            <w:hideMark/>
          </w:tcPr>
          <w:p w:rsidR="00586F73" w:rsidRDefault="00586F73" w:rsidP="00AC2BC4">
            <w:pPr>
              <w:jc w:val="center"/>
              <w:rPr>
                <w:rFonts w:ascii="Calibri" w:hAnsi="Calibri"/>
                <w:b/>
                <w:bCs/>
                <w:color w:val="000000"/>
              </w:rPr>
            </w:pPr>
            <w:r>
              <w:rPr>
                <w:rFonts w:ascii="Calibri" w:hAnsi="Calibri"/>
                <w:b/>
                <w:bCs/>
                <w:color w:val="000000"/>
              </w:rPr>
              <w:t>New Contributions</w:t>
            </w:r>
            <w:r>
              <w:rPr>
                <w:rFonts w:ascii="Calibri" w:hAnsi="Calibri"/>
                <w:b/>
                <w:bCs/>
                <w:color w:val="000000"/>
              </w:rPr>
              <w:br/>
              <w:t>FY16-17</w:t>
            </w:r>
          </w:p>
        </w:tc>
        <w:tc>
          <w:tcPr>
            <w:tcW w:w="1577" w:type="dxa"/>
            <w:tcBorders>
              <w:top w:val="single" w:sz="4" w:space="0" w:color="auto"/>
              <w:left w:val="nil"/>
              <w:bottom w:val="single" w:sz="4" w:space="0" w:color="auto"/>
              <w:right w:val="single" w:sz="4" w:space="0" w:color="auto"/>
            </w:tcBorders>
            <w:shd w:val="clear" w:color="000000" w:fill="E5EBEB"/>
            <w:vAlign w:val="center"/>
            <w:hideMark/>
          </w:tcPr>
          <w:p w:rsidR="00586F73" w:rsidRDefault="00586F73" w:rsidP="00AC2BC4">
            <w:pPr>
              <w:jc w:val="center"/>
              <w:rPr>
                <w:rFonts w:ascii="Calibri" w:hAnsi="Calibri"/>
                <w:b/>
                <w:bCs/>
                <w:color w:val="000000"/>
              </w:rPr>
            </w:pPr>
            <w:r>
              <w:rPr>
                <w:rFonts w:ascii="Calibri" w:hAnsi="Calibri"/>
                <w:b/>
                <w:bCs/>
                <w:color w:val="000000"/>
              </w:rPr>
              <w:t>Expenditures</w:t>
            </w:r>
            <w:r>
              <w:rPr>
                <w:rFonts w:ascii="Calibri" w:hAnsi="Calibri"/>
                <w:b/>
                <w:bCs/>
                <w:color w:val="000000"/>
              </w:rPr>
              <w:br/>
              <w:t>FY16-17</w:t>
            </w:r>
          </w:p>
        </w:tc>
        <w:tc>
          <w:tcPr>
            <w:tcW w:w="1762" w:type="dxa"/>
            <w:tcBorders>
              <w:top w:val="single" w:sz="4" w:space="0" w:color="auto"/>
              <w:left w:val="nil"/>
              <w:bottom w:val="single" w:sz="4" w:space="0" w:color="auto"/>
              <w:right w:val="single" w:sz="4" w:space="0" w:color="auto"/>
            </w:tcBorders>
            <w:shd w:val="clear" w:color="000000" w:fill="E5EBEB"/>
            <w:vAlign w:val="center"/>
            <w:hideMark/>
          </w:tcPr>
          <w:p w:rsidR="00586F73" w:rsidRDefault="00586F73" w:rsidP="00AC2BC4">
            <w:pPr>
              <w:jc w:val="center"/>
              <w:rPr>
                <w:rFonts w:ascii="Calibri" w:hAnsi="Calibri"/>
                <w:b/>
                <w:bCs/>
                <w:color w:val="000000"/>
              </w:rPr>
            </w:pPr>
            <w:r>
              <w:rPr>
                <w:rFonts w:ascii="Calibri" w:hAnsi="Calibri"/>
                <w:b/>
                <w:bCs/>
                <w:color w:val="000000"/>
              </w:rPr>
              <w:t>Ending Balance</w:t>
            </w:r>
            <w:r>
              <w:rPr>
                <w:rFonts w:ascii="Calibri" w:hAnsi="Calibri"/>
                <w:b/>
                <w:bCs/>
                <w:color w:val="000000"/>
              </w:rPr>
              <w:br/>
              <w:t>FY16-17</w:t>
            </w:r>
          </w:p>
        </w:tc>
        <w:tc>
          <w:tcPr>
            <w:tcW w:w="1946" w:type="dxa"/>
            <w:tcBorders>
              <w:top w:val="single" w:sz="4" w:space="0" w:color="auto"/>
              <w:left w:val="nil"/>
              <w:bottom w:val="single" w:sz="4" w:space="0" w:color="auto"/>
              <w:right w:val="single" w:sz="4" w:space="0" w:color="auto"/>
            </w:tcBorders>
            <w:shd w:val="clear" w:color="000000" w:fill="E5EBEB"/>
            <w:vAlign w:val="center"/>
            <w:hideMark/>
          </w:tcPr>
          <w:p w:rsidR="00586F73" w:rsidRDefault="00586F73" w:rsidP="00AC2BC4">
            <w:pPr>
              <w:jc w:val="center"/>
              <w:rPr>
                <w:rFonts w:ascii="Calibri" w:hAnsi="Calibri"/>
                <w:b/>
                <w:bCs/>
                <w:color w:val="000000"/>
              </w:rPr>
            </w:pPr>
            <w:r>
              <w:rPr>
                <w:rFonts w:ascii="Calibri" w:hAnsi="Calibri"/>
                <w:b/>
                <w:bCs/>
                <w:color w:val="000000"/>
              </w:rPr>
              <w:t>Available Balance</w:t>
            </w:r>
            <w:r>
              <w:rPr>
                <w:rFonts w:ascii="Calibri" w:hAnsi="Calibri"/>
                <w:b/>
                <w:bCs/>
                <w:color w:val="000000"/>
              </w:rPr>
              <w:br/>
              <w:t>June 30, 2017</w:t>
            </w:r>
          </w:p>
        </w:tc>
        <w:tc>
          <w:tcPr>
            <w:tcW w:w="1577" w:type="dxa"/>
            <w:tcBorders>
              <w:top w:val="single" w:sz="4" w:space="0" w:color="auto"/>
              <w:left w:val="nil"/>
              <w:bottom w:val="single" w:sz="4" w:space="0" w:color="auto"/>
              <w:right w:val="single" w:sz="4" w:space="0" w:color="auto"/>
            </w:tcBorders>
            <w:shd w:val="clear" w:color="000000" w:fill="E5EBEB"/>
            <w:vAlign w:val="center"/>
            <w:hideMark/>
          </w:tcPr>
          <w:p w:rsidR="00586F73" w:rsidRDefault="00586F73" w:rsidP="00AC2BC4">
            <w:pPr>
              <w:jc w:val="center"/>
              <w:rPr>
                <w:rFonts w:ascii="Calibri" w:hAnsi="Calibri"/>
                <w:b/>
                <w:bCs/>
                <w:color w:val="000000"/>
              </w:rPr>
            </w:pPr>
            <w:r>
              <w:rPr>
                <w:rFonts w:ascii="Calibri" w:hAnsi="Calibri"/>
                <w:b/>
                <w:bCs/>
                <w:color w:val="000000"/>
              </w:rPr>
              <w:t>Book Value</w:t>
            </w:r>
            <w:r>
              <w:rPr>
                <w:rFonts w:ascii="Calibri" w:hAnsi="Calibri"/>
                <w:b/>
                <w:bCs/>
                <w:color w:val="000000"/>
              </w:rPr>
              <w:br/>
              <w:t>June 30, 2017</w:t>
            </w:r>
          </w:p>
        </w:tc>
        <w:tc>
          <w:tcPr>
            <w:tcW w:w="1824" w:type="dxa"/>
            <w:tcBorders>
              <w:top w:val="single" w:sz="4" w:space="0" w:color="auto"/>
              <w:left w:val="nil"/>
              <w:bottom w:val="single" w:sz="4" w:space="0" w:color="auto"/>
              <w:right w:val="single" w:sz="4" w:space="0" w:color="auto"/>
            </w:tcBorders>
            <w:shd w:val="clear" w:color="000000" w:fill="E5EBEB"/>
            <w:vAlign w:val="center"/>
            <w:hideMark/>
          </w:tcPr>
          <w:p w:rsidR="00586F73" w:rsidRDefault="00586F73" w:rsidP="00AC2BC4">
            <w:pPr>
              <w:jc w:val="center"/>
              <w:rPr>
                <w:rFonts w:ascii="Calibri" w:hAnsi="Calibri"/>
                <w:b/>
                <w:bCs/>
                <w:color w:val="000000"/>
              </w:rPr>
            </w:pPr>
            <w:r>
              <w:rPr>
                <w:rFonts w:ascii="Calibri" w:hAnsi="Calibri"/>
                <w:b/>
                <w:bCs/>
                <w:color w:val="000000"/>
              </w:rPr>
              <w:t>Market Value</w:t>
            </w:r>
            <w:r>
              <w:rPr>
                <w:rFonts w:ascii="Calibri" w:hAnsi="Calibri"/>
                <w:b/>
                <w:bCs/>
                <w:color w:val="000000"/>
              </w:rPr>
              <w:br/>
              <w:t>June 30, 2017</w:t>
            </w:r>
          </w:p>
        </w:tc>
      </w:tr>
      <w:tr w:rsidR="00586F73" w:rsidTr="0058239C">
        <w:trPr>
          <w:trHeight w:val="623"/>
        </w:trPr>
        <w:tc>
          <w:tcPr>
            <w:tcW w:w="2365" w:type="dxa"/>
            <w:gridSpan w:val="2"/>
            <w:tcBorders>
              <w:top w:val="single" w:sz="4" w:space="0" w:color="auto"/>
              <w:left w:val="single" w:sz="4" w:space="0" w:color="auto"/>
              <w:bottom w:val="single" w:sz="4" w:space="0" w:color="auto"/>
              <w:right w:val="single" w:sz="4" w:space="0" w:color="auto"/>
            </w:tcBorders>
            <w:shd w:val="clear" w:color="000000" w:fill="FFFDF4"/>
            <w:vAlign w:val="center"/>
            <w:hideMark/>
          </w:tcPr>
          <w:p w:rsidR="00586F73" w:rsidRDefault="00586F73" w:rsidP="0058239C">
            <w:pPr>
              <w:rPr>
                <w:rFonts w:ascii="Calibri" w:hAnsi="Calibri"/>
                <w:color w:val="000000"/>
              </w:rPr>
            </w:pPr>
            <w:r>
              <w:rPr>
                <w:rFonts w:ascii="Calibri" w:hAnsi="Calibri"/>
                <w:color w:val="000000"/>
              </w:rPr>
              <w:t>Endowments Regental - Principal</w:t>
            </w:r>
          </w:p>
        </w:tc>
        <w:tc>
          <w:tcPr>
            <w:tcW w:w="1700" w:type="dxa"/>
            <w:tcBorders>
              <w:top w:val="nil"/>
              <w:left w:val="single" w:sz="4" w:space="0" w:color="auto"/>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                   0</w:t>
            </w:r>
          </w:p>
        </w:tc>
        <w:tc>
          <w:tcPr>
            <w:tcW w:w="1577"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                   0</w:t>
            </w:r>
          </w:p>
        </w:tc>
        <w:tc>
          <w:tcPr>
            <w:tcW w:w="1762"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 xml:space="preserve">$   </w:t>
            </w:r>
            <w:r w:rsidR="0058239C">
              <w:rPr>
                <w:rFonts w:ascii="Calibri" w:hAnsi="Calibri"/>
                <w:color w:val="000000"/>
              </w:rPr>
              <w:t xml:space="preserve"> </w:t>
            </w:r>
            <w:r>
              <w:rPr>
                <w:rFonts w:ascii="Calibri" w:hAnsi="Calibri"/>
                <w:color w:val="000000"/>
              </w:rPr>
              <w:t xml:space="preserve"> 14,879,228</w:t>
            </w:r>
          </w:p>
        </w:tc>
        <w:tc>
          <w:tcPr>
            <w:tcW w:w="1946"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                     0</w:t>
            </w:r>
          </w:p>
        </w:tc>
        <w:tc>
          <w:tcPr>
            <w:tcW w:w="1577"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  14,879,227</w:t>
            </w:r>
          </w:p>
        </w:tc>
        <w:tc>
          <w:tcPr>
            <w:tcW w:w="1824"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 xml:space="preserve">$      </w:t>
            </w:r>
            <w:r w:rsidRPr="004D1536">
              <w:rPr>
                <w:rFonts w:ascii="Calibri" w:hAnsi="Calibri"/>
                <w:color w:val="000000"/>
              </w:rPr>
              <w:t>44</w:t>
            </w:r>
            <w:r>
              <w:rPr>
                <w:rFonts w:ascii="Calibri" w:hAnsi="Calibri"/>
                <w:color w:val="000000"/>
              </w:rPr>
              <w:t>,</w:t>
            </w:r>
            <w:r w:rsidRPr="004D1536">
              <w:rPr>
                <w:rFonts w:ascii="Calibri" w:hAnsi="Calibri"/>
                <w:color w:val="000000"/>
              </w:rPr>
              <w:t>415</w:t>
            </w:r>
            <w:r>
              <w:rPr>
                <w:rFonts w:ascii="Calibri" w:hAnsi="Calibri"/>
                <w:color w:val="000000"/>
              </w:rPr>
              <w:t>,</w:t>
            </w:r>
            <w:r w:rsidRPr="004D1536">
              <w:rPr>
                <w:rFonts w:ascii="Calibri" w:hAnsi="Calibri"/>
                <w:color w:val="000000"/>
              </w:rPr>
              <w:t>573</w:t>
            </w:r>
          </w:p>
        </w:tc>
      </w:tr>
      <w:tr w:rsidR="00586F73" w:rsidTr="0058239C">
        <w:trPr>
          <w:trHeight w:val="623"/>
        </w:trPr>
        <w:tc>
          <w:tcPr>
            <w:tcW w:w="2365" w:type="dxa"/>
            <w:gridSpan w:val="2"/>
            <w:tcBorders>
              <w:top w:val="single" w:sz="4" w:space="0" w:color="auto"/>
              <w:left w:val="single" w:sz="4" w:space="0" w:color="auto"/>
              <w:bottom w:val="single" w:sz="4" w:space="0" w:color="auto"/>
              <w:right w:val="single" w:sz="4" w:space="0" w:color="auto"/>
            </w:tcBorders>
            <w:shd w:val="clear" w:color="000000" w:fill="FFFDF4"/>
            <w:vAlign w:val="center"/>
            <w:hideMark/>
          </w:tcPr>
          <w:p w:rsidR="00586F73" w:rsidRDefault="00586F73" w:rsidP="0058239C">
            <w:pPr>
              <w:rPr>
                <w:rFonts w:ascii="Calibri" w:hAnsi="Calibri"/>
                <w:color w:val="000000"/>
              </w:rPr>
            </w:pPr>
            <w:r>
              <w:rPr>
                <w:rFonts w:ascii="Calibri" w:hAnsi="Calibri"/>
                <w:color w:val="000000"/>
              </w:rPr>
              <w:t>Endowments Regental - Income</w:t>
            </w:r>
          </w:p>
        </w:tc>
        <w:tc>
          <w:tcPr>
            <w:tcW w:w="1700" w:type="dxa"/>
            <w:tcBorders>
              <w:top w:val="nil"/>
              <w:left w:val="single" w:sz="4" w:space="0" w:color="auto"/>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0</w:t>
            </w:r>
          </w:p>
        </w:tc>
        <w:tc>
          <w:tcPr>
            <w:tcW w:w="1577"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1,957,393</w:t>
            </w:r>
          </w:p>
        </w:tc>
        <w:tc>
          <w:tcPr>
            <w:tcW w:w="1762"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16,986,706</w:t>
            </w:r>
          </w:p>
        </w:tc>
        <w:tc>
          <w:tcPr>
            <w:tcW w:w="1946"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sidRPr="00B4084E">
              <w:rPr>
                <w:rFonts w:ascii="Calibri" w:hAnsi="Calibri"/>
                <w:color w:val="000000"/>
              </w:rPr>
              <w:t>15</w:t>
            </w:r>
            <w:r>
              <w:rPr>
                <w:rFonts w:ascii="Calibri" w:hAnsi="Calibri"/>
                <w:color w:val="000000"/>
              </w:rPr>
              <w:t>,</w:t>
            </w:r>
            <w:r w:rsidRPr="00B4084E">
              <w:rPr>
                <w:rFonts w:ascii="Calibri" w:hAnsi="Calibri"/>
                <w:color w:val="000000"/>
              </w:rPr>
              <w:t>456</w:t>
            </w:r>
            <w:r>
              <w:rPr>
                <w:rFonts w:ascii="Calibri" w:hAnsi="Calibri"/>
                <w:color w:val="000000"/>
              </w:rPr>
              <w:t>,</w:t>
            </w:r>
            <w:r w:rsidRPr="00B4084E">
              <w:rPr>
                <w:rFonts w:ascii="Calibri" w:hAnsi="Calibri"/>
                <w:color w:val="000000"/>
              </w:rPr>
              <w:t>687</w:t>
            </w:r>
          </w:p>
        </w:tc>
        <w:tc>
          <w:tcPr>
            <w:tcW w:w="1577"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0</w:t>
            </w:r>
          </w:p>
        </w:tc>
        <w:tc>
          <w:tcPr>
            <w:tcW w:w="1824"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0</w:t>
            </w:r>
          </w:p>
        </w:tc>
      </w:tr>
      <w:tr w:rsidR="00586F73" w:rsidTr="0058239C">
        <w:trPr>
          <w:trHeight w:val="623"/>
        </w:trPr>
        <w:tc>
          <w:tcPr>
            <w:tcW w:w="2365" w:type="dxa"/>
            <w:gridSpan w:val="2"/>
            <w:tcBorders>
              <w:top w:val="single" w:sz="4" w:space="0" w:color="auto"/>
              <w:left w:val="single" w:sz="4" w:space="0" w:color="auto"/>
              <w:bottom w:val="single" w:sz="4" w:space="0" w:color="auto"/>
              <w:right w:val="single" w:sz="4" w:space="0" w:color="auto"/>
            </w:tcBorders>
            <w:shd w:val="clear" w:color="000000" w:fill="FFFDF4"/>
            <w:vAlign w:val="center"/>
            <w:hideMark/>
          </w:tcPr>
          <w:p w:rsidR="00586F73" w:rsidRDefault="00586F73" w:rsidP="0058239C">
            <w:pPr>
              <w:rPr>
                <w:rFonts w:ascii="Calibri" w:hAnsi="Calibri"/>
                <w:color w:val="000000"/>
              </w:rPr>
            </w:pPr>
            <w:r>
              <w:rPr>
                <w:rFonts w:ascii="Calibri" w:hAnsi="Calibri"/>
                <w:color w:val="000000"/>
              </w:rPr>
              <w:t>Current Expenditure - Regental</w:t>
            </w:r>
          </w:p>
        </w:tc>
        <w:tc>
          <w:tcPr>
            <w:tcW w:w="1700" w:type="dxa"/>
            <w:tcBorders>
              <w:top w:val="nil"/>
              <w:left w:val="single" w:sz="4" w:space="0" w:color="auto"/>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1,072,211</w:t>
            </w:r>
          </w:p>
        </w:tc>
        <w:tc>
          <w:tcPr>
            <w:tcW w:w="1577"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2,153,893</w:t>
            </w:r>
          </w:p>
        </w:tc>
        <w:tc>
          <w:tcPr>
            <w:tcW w:w="1762"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sidRPr="005B4F54">
              <w:rPr>
                <w:rFonts w:ascii="Calibri" w:hAnsi="Calibri"/>
                <w:color w:val="000000"/>
              </w:rPr>
              <w:t>5</w:t>
            </w:r>
            <w:r>
              <w:rPr>
                <w:rFonts w:ascii="Calibri" w:hAnsi="Calibri"/>
                <w:color w:val="000000"/>
              </w:rPr>
              <w:t>,</w:t>
            </w:r>
            <w:r w:rsidRPr="005B4F54">
              <w:rPr>
                <w:rFonts w:ascii="Calibri" w:hAnsi="Calibri"/>
                <w:color w:val="000000"/>
              </w:rPr>
              <w:t>368</w:t>
            </w:r>
            <w:r>
              <w:rPr>
                <w:rFonts w:ascii="Calibri" w:hAnsi="Calibri"/>
                <w:color w:val="000000"/>
              </w:rPr>
              <w:t>,</w:t>
            </w:r>
            <w:r w:rsidRPr="005B4F54">
              <w:rPr>
                <w:rFonts w:ascii="Calibri" w:hAnsi="Calibri"/>
                <w:color w:val="000000"/>
              </w:rPr>
              <w:t>208</w:t>
            </w:r>
          </w:p>
        </w:tc>
        <w:tc>
          <w:tcPr>
            <w:tcW w:w="1946"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sidRPr="00B4084E">
              <w:rPr>
                <w:rFonts w:ascii="Calibri" w:hAnsi="Calibri"/>
                <w:color w:val="000000"/>
              </w:rPr>
              <w:t>5</w:t>
            </w:r>
            <w:r>
              <w:rPr>
                <w:rFonts w:ascii="Calibri" w:hAnsi="Calibri"/>
                <w:color w:val="000000"/>
              </w:rPr>
              <w:t>,</w:t>
            </w:r>
            <w:r w:rsidRPr="00B4084E">
              <w:rPr>
                <w:rFonts w:ascii="Calibri" w:hAnsi="Calibri"/>
                <w:color w:val="000000"/>
              </w:rPr>
              <w:t>368</w:t>
            </w:r>
            <w:r>
              <w:rPr>
                <w:rFonts w:ascii="Calibri" w:hAnsi="Calibri"/>
                <w:color w:val="000000"/>
              </w:rPr>
              <w:t>,</w:t>
            </w:r>
            <w:r w:rsidRPr="00B4084E">
              <w:rPr>
                <w:rFonts w:ascii="Calibri" w:hAnsi="Calibri"/>
                <w:color w:val="000000"/>
              </w:rPr>
              <w:t>208</w:t>
            </w:r>
          </w:p>
        </w:tc>
        <w:tc>
          <w:tcPr>
            <w:tcW w:w="1577"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0</w:t>
            </w:r>
          </w:p>
        </w:tc>
        <w:tc>
          <w:tcPr>
            <w:tcW w:w="1824"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0</w:t>
            </w:r>
          </w:p>
        </w:tc>
      </w:tr>
      <w:tr w:rsidR="00586F73" w:rsidTr="0058239C">
        <w:trPr>
          <w:trHeight w:val="623"/>
        </w:trPr>
        <w:tc>
          <w:tcPr>
            <w:tcW w:w="2365" w:type="dxa"/>
            <w:gridSpan w:val="2"/>
            <w:tcBorders>
              <w:top w:val="single" w:sz="4" w:space="0" w:color="auto"/>
              <w:left w:val="single" w:sz="4" w:space="0" w:color="auto"/>
              <w:bottom w:val="single" w:sz="4" w:space="0" w:color="auto"/>
              <w:right w:val="single" w:sz="4" w:space="0" w:color="auto"/>
            </w:tcBorders>
            <w:shd w:val="clear" w:color="000000" w:fill="FFFDF4"/>
            <w:vAlign w:val="center"/>
            <w:hideMark/>
          </w:tcPr>
          <w:p w:rsidR="00586F73" w:rsidRDefault="00586F73" w:rsidP="0058239C">
            <w:pPr>
              <w:rPr>
                <w:rFonts w:ascii="Calibri" w:hAnsi="Calibri"/>
                <w:color w:val="000000"/>
              </w:rPr>
            </w:pPr>
            <w:r>
              <w:rPr>
                <w:rFonts w:ascii="Calibri" w:hAnsi="Calibri"/>
                <w:color w:val="000000"/>
              </w:rPr>
              <w:t>Endowments - Foundation</w:t>
            </w:r>
          </w:p>
        </w:tc>
        <w:tc>
          <w:tcPr>
            <w:tcW w:w="1700" w:type="dxa"/>
            <w:tcBorders>
              <w:top w:val="nil"/>
              <w:left w:val="single" w:sz="4" w:space="0" w:color="auto"/>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3,235,387</w:t>
            </w:r>
          </w:p>
        </w:tc>
        <w:tc>
          <w:tcPr>
            <w:tcW w:w="1577"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988,765</w:t>
            </w:r>
          </w:p>
        </w:tc>
        <w:tc>
          <w:tcPr>
            <w:tcW w:w="1762"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sidRPr="005B4F54">
              <w:rPr>
                <w:rFonts w:ascii="Calibri" w:hAnsi="Calibri"/>
                <w:color w:val="000000"/>
              </w:rPr>
              <w:t>27</w:t>
            </w:r>
            <w:r>
              <w:rPr>
                <w:rFonts w:ascii="Calibri" w:hAnsi="Calibri"/>
                <w:color w:val="000000"/>
              </w:rPr>
              <w:t>,</w:t>
            </w:r>
            <w:r w:rsidRPr="005B4F54">
              <w:rPr>
                <w:rFonts w:ascii="Calibri" w:hAnsi="Calibri"/>
                <w:color w:val="000000"/>
              </w:rPr>
              <w:t>747</w:t>
            </w:r>
            <w:r>
              <w:rPr>
                <w:rFonts w:ascii="Calibri" w:hAnsi="Calibri"/>
                <w:color w:val="000000"/>
              </w:rPr>
              <w:t>,</w:t>
            </w:r>
            <w:r w:rsidRPr="005B4F54">
              <w:rPr>
                <w:rFonts w:ascii="Calibri" w:hAnsi="Calibri"/>
                <w:color w:val="000000"/>
              </w:rPr>
              <w:t>443</w:t>
            </w:r>
          </w:p>
        </w:tc>
        <w:tc>
          <w:tcPr>
            <w:tcW w:w="1946"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2,797,569</w:t>
            </w:r>
          </w:p>
        </w:tc>
        <w:tc>
          <w:tcPr>
            <w:tcW w:w="1577"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sidRPr="00183561">
              <w:rPr>
                <w:rFonts w:ascii="Calibri" w:hAnsi="Calibri"/>
                <w:color w:val="000000"/>
              </w:rPr>
              <w:t>31</w:t>
            </w:r>
            <w:r>
              <w:rPr>
                <w:rFonts w:ascii="Calibri" w:hAnsi="Calibri"/>
                <w:color w:val="000000"/>
              </w:rPr>
              <w:t>,</w:t>
            </w:r>
            <w:r w:rsidRPr="00183561">
              <w:rPr>
                <w:rFonts w:ascii="Calibri" w:hAnsi="Calibri"/>
                <w:color w:val="000000"/>
              </w:rPr>
              <w:t>175</w:t>
            </w:r>
            <w:r>
              <w:rPr>
                <w:rFonts w:ascii="Calibri" w:hAnsi="Calibri"/>
                <w:color w:val="000000"/>
              </w:rPr>
              <w:t>,</w:t>
            </w:r>
            <w:r w:rsidRPr="00183561">
              <w:rPr>
                <w:rFonts w:ascii="Calibri" w:hAnsi="Calibri"/>
                <w:color w:val="000000"/>
              </w:rPr>
              <w:t>265</w:t>
            </w:r>
          </w:p>
        </w:tc>
        <w:tc>
          <w:tcPr>
            <w:tcW w:w="1824"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29,842,158</w:t>
            </w:r>
          </w:p>
        </w:tc>
      </w:tr>
      <w:tr w:rsidR="00586F73" w:rsidTr="0058239C">
        <w:trPr>
          <w:trHeight w:val="623"/>
        </w:trPr>
        <w:tc>
          <w:tcPr>
            <w:tcW w:w="2365" w:type="dxa"/>
            <w:gridSpan w:val="2"/>
            <w:tcBorders>
              <w:top w:val="single" w:sz="4" w:space="0" w:color="auto"/>
              <w:left w:val="single" w:sz="4" w:space="0" w:color="auto"/>
              <w:bottom w:val="single" w:sz="4" w:space="0" w:color="auto"/>
              <w:right w:val="single" w:sz="4" w:space="0" w:color="auto"/>
            </w:tcBorders>
            <w:shd w:val="clear" w:color="000000" w:fill="FFFDF4"/>
            <w:vAlign w:val="center"/>
            <w:hideMark/>
          </w:tcPr>
          <w:p w:rsidR="00586F73" w:rsidRDefault="00586F73" w:rsidP="0058239C">
            <w:pPr>
              <w:rPr>
                <w:rFonts w:ascii="Calibri" w:hAnsi="Calibri"/>
                <w:color w:val="000000"/>
              </w:rPr>
            </w:pPr>
            <w:r>
              <w:rPr>
                <w:rFonts w:ascii="Calibri" w:hAnsi="Calibri"/>
                <w:color w:val="000000"/>
              </w:rPr>
              <w:t>Current Expenditure - Foundation</w:t>
            </w:r>
          </w:p>
        </w:tc>
        <w:tc>
          <w:tcPr>
            <w:tcW w:w="1700" w:type="dxa"/>
            <w:tcBorders>
              <w:top w:val="nil"/>
              <w:left w:val="single" w:sz="4" w:space="0" w:color="auto"/>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7,566,750</w:t>
            </w:r>
          </w:p>
        </w:tc>
        <w:tc>
          <w:tcPr>
            <w:tcW w:w="1577"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4,344,016</w:t>
            </w:r>
          </w:p>
        </w:tc>
        <w:tc>
          <w:tcPr>
            <w:tcW w:w="1762"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sidRPr="005B4F54">
              <w:rPr>
                <w:rFonts w:ascii="Calibri" w:hAnsi="Calibri"/>
                <w:color w:val="000000"/>
              </w:rPr>
              <w:t>18</w:t>
            </w:r>
            <w:r>
              <w:rPr>
                <w:rFonts w:ascii="Calibri" w:hAnsi="Calibri"/>
                <w:color w:val="000000"/>
              </w:rPr>
              <w:t>,</w:t>
            </w:r>
            <w:r w:rsidRPr="005B4F54">
              <w:rPr>
                <w:rFonts w:ascii="Calibri" w:hAnsi="Calibri"/>
                <w:color w:val="000000"/>
              </w:rPr>
              <w:t>251</w:t>
            </w:r>
            <w:r>
              <w:rPr>
                <w:rFonts w:ascii="Calibri" w:hAnsi="Calibri"/>
                <w:color w:val="000000"/>
              </w:rPr>
              <w:t>,</w:t>
            </w:r>
            <w:r w:rsidRPr="005B4F54">
              <w:rPr>
                <w:rFonts w:ascii="Calibri" w:hAnsi="Calibri"/>
                <w:color w:val="000000"/>
              </w:rPr>
              <w:t>749</w:t>
            </w:r>
          </w:p>
        </w:tc>
        <w:tc>
          <w:tcPr>
            <w:tcW w:w="1946"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sidRPr="00B4084E">
              <w:rPr>
                <w:rFonts w:ascii="Calibri" w:hAnsi="Calibri"/>
                <w:color w:val="000000"/>
              </w:rPr>
              <w:t>18</w:t>
            </w:r>
            <w:r>
              <w:rPr>
                <w:rFonts w:ascii="Calibri" w:hAnsi="Calibri"/>
                <w:color w:val="000000"/>
              </w:rPr>
              <w:t>,</w:t>
            </w:r>
            <w:r w:rsidRPr="00B4084E">
              <w:rPr>
                <w:rFonts w:ascii="Calibri" w:hAnsi="Calibri"/>
                <w:color w:val="000000"/>
              </w:rPr>
              <w:t>251</w:t>
            </w:r>
            <w:r>
              <w:rPr>
                <w:rFonts w:ascii="Calibri" w:hAnsi="Calibri"/>
                <w:color w:val="000000"/>
              </w:rPr>
              <w:t>,</w:t>
            </w:r>
            <w:r w:rsidRPr="00B4084E">
              <w:rPr>
                <w:rFonts w:ascii="Calibri" w:hAnsi="Calibri"/>
                <w:color w:val="000000"/>
              </w:rPr>
              <w:t>749</w:t>
            </w:r>
          </w:p>
        </w:tc>
        <w:tc>
          <w:tcPr>
            <w:tcW w:w="1577"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0</w:t>
            </w:r>
          </w:p>
        </w:tc>
        <w:tc>
          <w:tcPr>
            <w:tcW w:w="1824" w:type="dxa"/>
            <w:tcBorders>
              <w:top w:val="nil"/>
              <w:left w:val="nil"/>
              <w:bottom w:val="single" w:sz="4" w:space="0" w:color="auto"/>
              <w:right w:val="single" w:sz="4" w:space="0" w:color="auto"/>
            </w:tcBorders>
            <w:shd w:val="clear" w:color="000000" w:fill="FFFDF4"/>
            <w:vAlign w:val="center"/>
            <w:hideMark/>
          </w:tcPr>
          <w:p w:rsidR="00586F73" w:rsidRDefault="00586F73" w:rsidP="0058239C">
            <w:pPr>
              <w:jc w:val="right"/>
              <w:rPr>
                <w:rFonts w:ascii="Calibri" w:hAnsi="Calibri"/>
                <w:color w:val="000000"/>
              </w:rPr>
            </w:pPr>
            <w:r>
              <w:rPr>
                <w:rFonts w:ascii="Calibri" w:hAnsi="Calibri"/>
                <w:color w:val="000000"/>
              </w:rPr>
              <w:t>0</w:t>
            </w:r>
          </w:p>
        </w:tc>
      </w:tr>
      <w:tr w:rsidR="00586F73" w:rsidTr="0058239C">
        <w:trPr>
          <w:trHeight w:val="580"/>
        </w:trPr>
        <w:tc>
          <w:tcPr>
            <w:tcW w:w="2365" w:type="dxa"/>
            <w:gridSpan w:val="2"/>
            <w:tcBorders>
              <w:top w:val="nil"/>
              <w:left w:val="single" w:sz="4" w:space="0" w:color="536895"/>
              <w:bottom w:val="single" w:sz="4" w:space="0" w:color="536895"/>
              <w:right w:val="nil"/>
            </w:tcBorders>
            <w:shd w:val="clear" w:color="000000" w:fill="E5EBEB"/>
            <w:noWrap/>
            <w:vAlign w:val="center"/>
            <w:hideMark/>
          </w:tcPr>
          <w:p w:rsidR="00586F73" w:rsidRDefault="00586F73" w:rsidP="0058239C">
            <w:pPr>
              <w:rPr>
                <w:rFonts w:ascii="Calibri" w:hAnsi="Calibri"/>
                <w:b/>
                <w:bCs/>
                <w:color w:val="000000"/>
              </w:rPr>
            </w:pPr>
            <w:r>
              <w:rPr>
                <w:rFonts w:ascii="Calibri" w:hAnsi="Calibri"/>
                <w:b/>
                <w:bCs/>
                <w:color w:val="000000"/>
              </w:rPr>
              <w:t>TOTAL</w:t>
            </w:r>
          </w:p>
        </w:tc>
        <w:tc>
          <w:tcPr>
            <w:tcW w:w="1700" w:type="dxa"/>
            <w:tcBorders>
              <w:top w:val="nil"/>
              <w:left w:val="single" w:sz="4" w:space="0" w:color="auto"/>
              <w:bottom w:val="single" w:sz="4" w:space="0" w:color="auto"/>
              <w:right w:val="single" w:sz="4" w:space="0" w:color="auto"/>
            </w:tcBorders>
            <w:shd w:val="clear" w:color="000000" w:fill="E5EBEB"/>
            <w:vAlign w:val="center"/>
            <w:hideMark/>
          </w:tcPr>
          <w:p w:rsidR="00586F73" w:rsidRDefault="00586F73" w:rsidP="0058239C">
            <w:pPr>
              <w:jc w:val="right"/>
              <w:rPr>
                <w:rFonts w:ascii="Calibri" w:hAnsi="Calibri"/>
                <w:color w:val="000000"/>
              </w:rPr>
            </w:pPr>
            <w:r>
              <w:rPr>
                <w:rFonts w:ascii="Calibri" w:hAnsi="Calibri"/>
                <w:color w:val="000000"/>
              </w:rPr>
              <w:t xml:space="preserve"> $ 11,874,348                 </w:t>
            </w:r>
          </w:p>
        </w:tc>
        <w:tc>
          <w:tcPr>
            <w:tcW w:w="1577" w:type="dxa"/>
            <w:tcBorders>
              <w:top w:val="nil"/>
              <w:left w:val="nil"/>
              <w:bottom w:val="single" w:sz="4" w:space="0" w:color="auto"/>
              <w:right w:val="single" w:sz="4" w:space="0" w:color="auto"/>
            </w:tcBorders>
            <w:shd w:val="clear" w:color="000000" w:fill="E5EBEB"/>
            <w:vAlign w:val="center"/>
            <w:hideMark/>
          </w:tcPr>
          <w:p w:rsidR="00586F73" w:rsidRDefault="00586F73" w:rsidP="0058239C">
            <w:pPr>
              <w:jc w:val="right"/>
              <w:rPr>
                <w:rFonts w:ascii="Calibri" w:hAnsi="Calibri"/>
                <w:color w:val="000000"/>
              </w:rPr>
            </w:pPr>
            <w:r>
              <w:rPr>
                <w:rFonts w:ascii="Calibri" w:hAnsi="Calibri"/>
                <w:color w:val="000000"/>
              </w:rPr>
              <w:t xml:space="preserve">$    </w:t>
            </w:r>
            <w:r w:rsidRPr="005B4F54">
              <w:rPr>
                <w:rFonts w:ascii="Calibri" w:hAnsi="Calibri"/>
                <w:color w:val="000000"/>
              </w:rPr>
              <w:t>9</w:t>
            </w:r>
            <w:r>
              <w:rPr>
                <w:rFonts w:ascii="Calibri" w:hAnsi="Calibri"/>
                <w:color w:val="000000"/>
              </w:rPr>
              <w:t>,</w:t>
            </w:r>
            <w:r w:rsidRPr="005B4F54">
              <w:rPr>
                <w:rFonts w:ascii="Calibri" w:hAnsi="Calibri"/>
                <w:color w:val="000000"/>
              </w:rPr>
              <w:t>444</w:t>
            </w:r>
            <w:r>
              <w:rPr>
                <w:rFonts w:ascii="Calibri" w:hAnsi="Calibri"/>
                <w:color w:val="000000"/>
              </w:rPr>
              <w:t>,</w:t>
            </w:r>
            <w:r w:rsidRPr="005B4F54">
              <w:rPr>
                <w:rFonts w:ascii="Calibri" w:hAnsi="Calibri"/>
                <w:color w:val="000000"/>
              </w:rPr>
              <w:t>066</w:t>
            </w:r>
            <w:r>
              <w:rPr>
                <w:rFonts w:ascii="Calibri" w:hAnsi="Calibri"/>
                <w:color w:val="000000"/>
              </w:rPr>
              <w:t xml:space="preserve">     </w:t>
            </w:r>
          </w:p>
        </w:tc>
        <w:tc>
          <w:tcPr>
            <w:tcW w:w="1762" w:type="dxa"/>
            <w:tcBorders>
              <w:top w:val="nil"/>
              <w:left w:val="nil"/>
              <w:bottom w:val="single" w:sz="4" w:space="0" w:color="auto"/>
              <w:right w:val="single" w:sz="4" w:space="0" w:color="auto"/>
            </w:tcBorders>
            <w:shd w:val="clear" w:color="000000" w:fill="E5EBEB"/>
            <w:vAlign w:val="center"/>
            <w:hideMark/>
          </w:tcPr>
          <w:p w:rsidR="00586F73" w:rsidRDefault="00586F73" w:rsidP="0058239C">
            <w:pPr>
              <w:jc w:val="right"/>
              <w:rPr>
                <w:rFonts w:ascii="Calibri" w:hAnsi="Calibri"/>
                <w:color w:val="000000"/>
              </w:rPr>
            </w:pPr>
            <w:r>
              <w:rPr>
                <w:rFonts w:ascii="Calibri" w:hAnsi="Calibri"/>
                <w:color w:val="000000"/>
              </w:rPr>
              <w:t xml:space="preserve"> $      83,233,335 </w:t>
            </w:r>
          </w:p>
        </w:tc>
        <w:tc>
          <w:tcPr>
            <w:tcW w:w="1946" w:type="dxa"/>
            <w:tcBorders>
              <w:top w:val="nil"/>
              <w:left w:val="nil"/>
              <w:bottom w:val="single" w:sz="4" w:space="0" w:color="auto"/>
              <w:right w:val="single" w:sz="4" w:space="0" w:color="auto"/>
            </w:tcBorders>
            <w:shd w:val="clear" w:color="000000" w:fill="E5EBEB"/>
            <w:vAlign w:val="center"/>
            <w:hideMark/>
          </w:tcPr>
          <w:p w:rsidR="00586F73" w:rsidRDefault="00586F73" w:rsidP="0058239C">
            <w:pPr>
              <w:jc w:val="right"/>
              <w:rPr>
                <w:rFonts w:ascii="Calibri" w:hAnsi="Calibri"/>
                <w:color w:val="000000"/>
              </w:rPr>
            </w:pPr>
            <w:r>
              <w:rPr>
                <w:rFonts w:ascii="Calibri" w:hAnsi="Calibri"/>
                <w:color w:val="000000"/>
              </w:rPr>
              <w:t xml:space="preserve"> $   41,874,213     </w:t>
            </w:r>
          </w:p>
        </w:tc>
        <w:tc>
          <w:tcPr>
            <w:tcW w:w="1577" w:type="dxa"/>
            <w:tcBorders>
              <w:top w:val="nil"/>
              <w:left w:val="nil"/>
              <w:bottom w:val="single" w:sz="4" w:space="0" w:color="auto"/>
              <w:right w:val="single" w:sz="4" w:space="0" w:color="auto"/>
            </w:tcBorders>
            <w:shd w:val="clear" w:color="000000" w:fill="E5EBEB"/>
            <w:vAlign w:val="center"/>
            <w:hideMark/>
          </w:tcPr>
          <w:p w:rsidR="00586F73" w:rsidRDefault="00586F73" w:rsidP="0058239C">
            <w:pPr>
              <w:jc w:val="right"/>
              <w:rPr>
                <w:rFonts w:ascii="Calibri" w:hAnsi="Calibri"/>
                <w:color w:val="000000"/>
              </w:rPr>
            </w:pPr>
            <w:r>
              <w:rPr>
                <w:rFonts w:ascii="Calibri" w:hAnsi="Calibri"/>
                <w:color w:val="000000"/>
              </w:rPr>
              <w:t xml:space="preserve"> $  </w:t>
            </w:r>
            <w:r w:rsidRPr="00183561">
              <w:rPr>
                <w:rFonts w:ascii="Calibri" w:hAnsi="Calibri"/>
                <w:color w:val="000000"/>
              </w:rPr>
              <w:t>46</w:t>
            </w:r>
            <w:r>
              <w:rPr>
                <w:rFonts w:ascii="Calibri" w:hAnsi="Calibri"/>
                <w:color w:val="000000"/>
              </w:rPr>
              <w:t>,</w:t>
            </w:r>
            <w:r w:rsidRPr="00183561">
              <w:rPr>
                <w:rFonts w:ascii="Calibri" w:hAnsi="Calibri"/>
                <w:color w:val="000000"/>
              </w:rPr>
              <w:t>054</w:t>
            </w:r>
            <w:r>
              <w:rPr>
                <w:rFonts w:ascii="Calibri" w:hAnsi="Calibri"/>
                <w:color w:val="000000"/>
              </w:rPr>
              <w:t xml:space="preserve">,492 </w:t>
            </w:r>
          </w:p>
        </w:tc>
        <w:tc>
          <w:tcPr>
            <w:tcW w:w="1824" w:type="dxa"/>
            <w:tcBorders>
              <w:top w:val="nil"/>
              <w:left w:val="nil"/>
              <w:bottom w:val="single" w:sz="4" w:space="0" w:color="auto"/>
              <w:right w:val="single" w:sz="4" w:space="0" w:color="auto"/>
            </w:tcBorders>
            <w:shd w:val="clear" w:color="000000" w:fill="E5EBEB"/>
            <w:vAlign w:val="center"/>
            <w:hideMark/>
          </w:tcPr>
          <w:p w:rsidR="00586F73" w:rsidRDefault="00586F73" w:rsidP="0058239C">
            <w:pPr>
              <w:jc w:val="right"/>
              <w:rPr>
                <w:rFonts w:ascii="Calibri" w:hAnsi="Calibri"/>
                <w:color w:val="000000"/>
              </w:rPr>
            </w:pPr>
            <w:r>
              <w:rPr>
                <w:rFonts w:ascii="Calibri" w:hAnsi="Calibri"/>
                <w:color w:val="000000"/>
              </w:rPr>
              <w:t xml:space="preserve"> $ </w:t>
            </w:r>
            <w:r w:rsidR="0058239C">
              <w:rPr>
                <w:rFonts w:ascii="Calibri" w:hAnsi="Calibri"/>
                <w:color w:val="000000"/>
              </w:rPr>
              <w:t xml:space="preserve">  </w:t>
            </w:r>
            <w:r w:rsidRPr="00686C71">
              <w:rPr>
                <w:rFonts w:ascii="Calibri" w:hAnsi="Calibri"/>
                <w:color w:val="000000"/>
              </w:rPr>
              <w:t>74</w:t>
            </w:r>
            <w:r>
              <w:rPr>
                <w:rFonts w:ascii="Calibri" w:hAnsi="Calibri"/>
                <w:color w:val="000000"/>
              </w:rPr>
              <w:t>,</w:t>
            </w:r>
            <w:r w:rsidRPr="00686C71">
              <w:rPr>
                <w:rFonts w:ascii="Calibri" w:hAnsi="Calibri"/>
                <w:color w:val="000000"/>
              </w:rPr>
              <w:t>257</w:t>
            </w:r>
            <w:r>
              <w:rPr>
                <w:rFonts w:ascii="Calibri" w:hAnsi="Calibri"/>
                <w:color w:val="000000"/>
              </w:rPr>
              <w:t>,</w:t>
            </w:r>
            <w:r w:rsidRPr="00686C71">
              <w:rPr>
                <w:rFonts w:ascii="Calibri" w:hAnsi="Calibri"/>
                <w:color w:val="000000"/>
              </w:rPr>
              <w:t>731</w:t>
            </w:r>
            <w:r>
              <w:rPr>
                <w:rFonts w:ascii="Calibri" w:hAnsi="Calibri"/>
                <w:color w:val="000000"/>
              </w:rPr>
              <w:t xml:space="preserve">      </w:t>
            </w:r>
          </w:p>
        </w:tc>
      </w:tr>
    </w:tbl>
    <w:p w:rsidR="00ED1DFC" w:rsidRPr="0058239C" w:rsidRDefault="00ED1DFC" w:rsidP="0058239C">
      <w:pPr>
        <w:keepNext/>
        <w:spacing w:after="0" w:line="360" w:lineRule="auto"/>
        <w:jc w:val="both"/>
        <w:rPr>
          <w:rFonts w:ascii="Arial" w:hAnsi="Arial" w:cs="Arial"/>
          <w:sz w:val="24"/>
          <w:szCs w:val="24"/>
          <w:u w:val="single"/>
        </w:rPr>
      </w:pPr>
      <w:r w:rsidRPr="0058239C">
        <w:rPr>
          <w:rFonts w:ascii="Arial" w:hAnsi="Arial" w:cs="Arial"/>
          <w:sz w:val="24"/>
          <w:szCs w:val="24"/>
          <w:u w:val="single"/>
        </w:rPr>
        <w:lastRenderedPageBreak/>
        <w:t xml:space="preserve">Purpose and Scope  </w:t>
      </w:r>
    </w:p>
    <w:p w:rsidR="00ED1DFC" w:rsidRPr="00AC2BC4" w:rsidRDefault="00ED1DFC" w:rsidP="0058239C">
      <w:pPr>
        <w:keepNext/>
        <w:spacing w:after="0" w:line="360" w:lineRule="auto"/>
        <w:jc w:val="both"/>
        <w:rPr>
          <w:rFonts w:ascii="Arial" w:hAnsi="Arial" w:cs="Arial"/>
          <w:b/>
          <w:sz w:val="24"/>
          <w:szCs w:val="24"/>
        </w:rPr>
      </w:pPr>
    </w:p>
    <w:p w:rsidR="00ED1DFC" w:rsidRPr="0058239C" w:rsidRDefault="00ED1DFC" w:rsidP="0058239C">
      <w:pPr>
        <w:spacing w:after="0" w:line="360" w:lineRule="auto"/>
        <w:jc w:val="both"/>
        <w:rPr>
          <w:rFonts w:ascii="Arial" w:hAnsi="Arial" w:cs="Arial"/>
          <w:sz w:val="24"/>
          <w:szCs w:val="24"/>
        </w:rPr>
      </w:pPr>
      <w:r w:rsidRPr="0058239C">
        <w:rPr>
          <w:rFonts w:ascii="Arial" w:hAnsi="Arial" w:cs="Arial"/>
          <w:sz w:val="24"/>
          <w:szCs w:val="24"/>
        </w:rPr>
        <w:t xml:space="preserve">The purpose of the audit was to assure that funds have been expended in accordance with donor intent and University policies and procedures.  </w:t>
      </w:r>
    </w:p>
    <w:p w:rsidR="00ED1DFC" w:rsidRPr="0058239C" w:rsidRDefault="00ED1DFC" w:rsidP="0058239C">
      <w:pPr>
        <w:spacing w:after="0" w:line="360" w:lineRule="auto"/>
        <w:jc w:val="both"/>
        <w:rPr>
          <w:rFonts w:ascii="Arial" w:hAnsi="Arial" w:cs="Arial"/>
          <w:sz w:val="24"/>
          <w:szCs w:val="24"/>
        </w:rPr>
      </w:pPr>
    </w:p>
    <w:p w:rsidR="00ED1DFC" w:rsidRPr="0058239C" w:rsidRDefault="00ED1DFC" w:rsidP="0058239C">
      <w:pPr>
        <w:widowControl w:val="0"/>
        <w:spacing w:after="0" w:line="360" w:lineRule="auto"/>
        <w:jc w:val="both"/>
        <w:rPr>
          <w:rFonts w:ascii="Arial" w:hAnsi="Arial" w:cs="Arial"/>
          <w:sz w:val="24"/>
          <w:szCs w:val="24"/>
        </w:rPr>
      </w:pPr>
      <w:r w:rsidRPr="0058239C">
        <w:rPr>
          <w:rFonts w:ascii="Arial" w:hAnsi="Arial" w:cs="Arial"/>
          <w:sz w:val="24"/>
          <w:szCs w:val="24"/>
        </w:rPr>
        <w:t xml:space="preserve">The scope of the audit included a cursory review of all Department of </w:t>
      </w:r>
      <w:r w:rsidR="002E4B86" w:rsidRPr="0058239C">
        <w:rPr>
          <w:rFonts w:ascii="Arial" w:hAnsi="Arial" w:cs="Arial"/>
          <w:sz w:val="24"/>
          <w:szCs w:val="24"/>
        </w:rPr>
        <w:t>Neurology</w:t>
      </w:r>
      <w:r w:rsidRPr="0058239C">
        <w:rPr>
          <w:rFonts w:ascii="Arial" w:hAnsi="Arial" w:cs="Arial"/>
          <w:sz w:val="24"/>
          <w:szCs w:val="24"/>
        </w:rPr>
        <w:t xml:space="preserve"> gift funds and </w:t>
      </w:r>
      <w:r w:rsidR="002E4B86" w:rsidRPr="0058239C">
        <w:rPr>
          <w:rFonts w:ascii="Arial" w:hAnsi="Arial" w:cs="Arial"/>
          <w:sz w:val="24"/>
          <w:szCs w:val="24"/>
        </w:rPr>
        <w:t>a detailed review of 54</w:t>
      </w:r>
      <w:r w:rsidRPr="0058239C">
        <w:rPr>
          <w:rFonts w:ascii="Arial" w:hAnsi="Arial" w:cs="Arial"/>
          <w:sz w:val="24"/>
          <w:szCs w:val="24"/>
        </w:rPr>
        <w:t xml:space="preserve"> sampled </w:t>
      </w:r>
      <w:r w:rsidR="002E4B86" w:rsidRPr="0058239C">
        <w:rPr>
          <w:rFonts w:ascii="Arial" w:hAnsi="Arial" w:cs="Arial"/>
          <w:sz w:val="24"/>
          <w:szCs w:val="24"/>
        </w:rPr>
        <w:t>expenditures charged to 29</w:t>
      </w:r>
      <w:r w:rsidRPr="0058239C">
        <w:rPr>
          <w:rFonts w:ascii="Arial" w:hAnsi="Arial" w:cs="Arial"/>
          <w:sz w:val="24"/>
          <w:szCs w:val="24"/>
        </w:rPr>
        <w:t xml:space="preserve"> departmental gift funds during fiscal year 2016-17.  The UCLA Consolidated Gift Fund Management Report was used to determine the purpose of the gift funds. Various documentation was examined to verify the nature of the expenditures, including invoices, recharges, travel expense reports, post-authorization notifications (PANs), and payroll reports.  Departmental staff were relied upon to explain expenditures for which the nature was not readily apparent.</w:t>
      </w:r>
    </w:p>
    <w:p w:rsidR="00ED1DFC" w:rsidRPr="0058239C" w:rsidRDefault="00ED1DFC" w:rsidP="0058239C">
      <w:pPr>
        <w:widowControl w:val="0"/>
        <w:spacing w:after="0" w:line="360" w:lineRule="auto"/>
        <w:jc w:val="both"/>
        <w:rPr>
          <w:rFonts w:ascii="Arial" w:hAnsi="Arial" w:cs="Arial"/>
          <w:sz w:val="24"/>
          <w:szCs w:val="24"/>
        </w:rPr>
      </w:pPr>
    </w:p>
    <w:p w:rsidR="00ED1DFC" w:rsidRPr="0058239C" w:rsidRDefault="00ED1DFC" w:rsidP="0058239C">
      <w:pPr>
        <w:widowControl w:val="0"/>
        <w:spacing w:after="0" w:line="360" w:lineRule="auto"/>
        <w:jc w:val="both"/>
        <w:rPr>
          <w:rFonts w:ascii="Arial" w:hAnsi="Arial" w:cs="Arial"/>
          <w:sz w:val="24"/>
          <w:szCs w:val="24"/>
        </w:rPr>
      </w:pPr>
      <w:r w:rsidRPr="0058239C">
        <w:rPr>
          <w:rFonts w:ascii="Arial" w:hAnsi="Arial" w:cs="Arial"/>
          <w:sz w:val="24"/>
          <w:szCs w:val="24"/>
        </w:rPr>
        <w:t xml:space="preserve">The audit was conducted in conformance with the </w:t>
      </w:r>
      <w:r w:rsidRPr="0058239C">
        <w:rPr>
          <w:rFonts w:ascii="Arial" w:hAnsi="Arial" w:cs="Arial"/>
          <w:i/>
          <w:sz w:val="24"/>
          <w:szCs w:val="24"/>
        </w:rPr>
        <w:t>International Standards for the Professional Practice of Internal Auditing</w:t>
      </w:r>
      <w:r w:rsidRPr="0058239C">
        <w:rPr>
          <w:rFonts w:ascii="Arial" w:hAnsi="Arial" w:cs="Arial"/>
          <w:sz w:val="24"/>
          <w:szCs w:val="24"/>
        </w:rPr>
        <w:t xml:space="preserve"> and included tests and other procedures considered necessary in achieving the purpose.  </w:t>
      </w:r>
    </w:p>
    <w:p w:rsidR="00ED1DFC" w:rsidRPr="0058239C" w:rsidRDefault="00ED1DFC" w:rsidP="0058239C">
      <w:pPr>
        <w:spacing w:after="0" w:line="360" w:lineRule="auto"/>
        <w:jc w:val="both"/>
        <w:rPr>
          <w:rFonts w:ascii="Arial" w:hAnsi="Arial" w:cs="Arial"/>
          <w:sz w:val="24"/>
          <w:szCs w:val="24"/>
        </w:rPr>
      </w:pPr>
    </w:p>
    <w:p w:rsidR="00ED1DFC" w:rsidRPr="0058239C" w:rsidRDefault="00ED1DFC" w:rsidP="0058239C">
      <w:pPr>
        <w:spacing w:after="0" w:line="360" w:lineRule="auto"/>
        <w:jc w:val="both"/>
        <w:rPr>
          <w:rFonts w:ascii="Arial" w:hAnsi="Arial" w:cs="Arial"/>
          <w:sz w:val="24"/>
          <w:szCs w:val="24"/>
          <w:u w:val="single"/>
        </w:rPr>
      </w:pPr>
      <w:r w:rsidRPr="0058239C">
        <w:rPr>
          <w:rFonts w:ascii="Arial" w:hAnsi="Arial" w:cs="Arial"/>
          <w:sz w:val="24"/>
          <w:szCs w:val="24"/>
          <w:u w:val="single"/>
        </w:rPr>
        <w:t>Summary Opinion</w:t>
      </w:r>
    </w:p>
    <w:p w:rsidR="00ED1DFC" w:rsidRPr="0058239C" w:rsidRDefault="00ED1DFC" w:rsidP="0058239C">
      <w:pPr>
        <w:spacing w:after="0" w:line="360" w:lineRule="auto"/>
        <w:jc w:val="both"/>
        <w:rPr>
          <w:rFonts w:ascii="Arial" w:hAnsi="Arial" w:cs="Arial"/>
          <w:sz w:val="24"/>
          <w:szCs w:val="24"/>
        </w:rPr>
      </w:pPr>
    </w:p>
    <w:p w:rsidR="00ED1DFC" w:rsidRPr="0058239C" w:rsidRDefault="00ED1DFC" w:rsidP="0058239C">
      <w:pPr>
        <w:spacing w:after="0" w:line="360" w:lineRule="auto"/>
        <w:jc w:val="both"/>
        <w:rPr>
          <w:rFonts w:ascii="Arial" w:hAnsi="Arial" w:cs="Arial"/>
          <w:sz w:val="24"/>
          <w:szCs w:val="24"/>
        </w:rPr>
      </w:pPr>
      <w:r w:rsidRPr="0058239C">
        <w:rPr>
          <w:rFonts w:ascii="Arial" w:hAnsi="Arial" w:cs="Arial"/>
          <w:sz w:val="24"/>
          <w:szCs w:val="24"/>
        </w:rPr>
        <w:t xml:space="preserve">Based on the results of the work performed within the scope of the audit, expenditures charged to Department of </w:t>
      </w:r>
      <w:r w:rsidR="002E4B86" w:rsidRPr="0058239C">
        <w:rPr>
          <w:rFonts w:ascii="Arial" w:hAnsi="Arial" w:cs="Arial"/>
          <w:sz w:val="24"/>
          <w:szCs w:val="24"/>
        </w:rPr>
        <w:t>Neurology</w:t>
      </w:r>
      <w:r w:rsidRPr="0058239C">
        <w:rPr>
          <w:rFonts w:ascii="Arial" w:hAnsi="Arial" w:cs="Arial"/>
          <w:sz w:val="24"/>
          <w:szCs w:val="24"/>
        </w:rPr>
        <w:t xml:space="preserve"> gift funds were generally in acc</w:t>
      </w:r>
      <w:r w:rsidR="00AC2BC4">
        <w:rPr>
          <w:rFonts w:ascii="Arial" w:hAnsi="Arial" w:cs="Arial"/>
          <w:sz w:val="24"/>
          <w:szCs w:val="24"/>
        </w:rPr>
        <w:t>ordance with the donor intent.</w:t>
      </w:r>
      <w:r w:rsidRPr="0058239C">
        <w:rPr>
          <w:rFonts w:ascii="Arial" w:hAnsi="Arial" w:cs="Arial"/>
          <w:sz w:val="24"/>
          <w:szCs w:val="24"/>
        </w:rPr>
        <w:t xml:space="preserve">  The audit did, however, identify </w:t>
      </w:r>
      <w:r w:rsidR="00C71F8F" w:rsidRPr="0058239C">
        <w:rPr>
          <w:rFonts w:ascii="Arial" w:hAnsi="Arial" w:cs="Arial"/>
          <w:sz w:val="24"/>
          <w:szCs w:val="24"/>
        </w:rPr>
        <w:t>two gift funds where the</w:t>
      </w:r>
      <w:r w:rsidR="00944724" w:rsidRPr="0058239C">
        <w:rPr>
          <w:rFonts w:ascii="Arial" w:hAnsi="Arial" w:cs="Arial"/>
          <w:sz w:val="24"/>
          <w:szCs w:val="24"/>
        </w:rPr>
        <w:t xml:space="preserve"> </w:t>
      </w:r>
      <w:r w:rsidR="004375BE" w:rsidRPr="0058239C">
        <w:rPr>
          <w:rFonts w:ascii="Arial" w:hAnsi="Arial" w:cs="Arial"/>
          <w:sz w:val="24"/>
          <w:szCs w:val="24"/>
        </w:rPr>
        <w:t xml:space="preserve">official </w:t>
      </w:r>
      <w:r w:rsidR="00944724" w:rsidRPr="0058239C">
        <w:rPr>
          <w:rFonts w:ascii="Arial" w:hAnsi="Arial" w:cs="Arial"/>
          <w:sz w:val="24"/>
          <w:szCs w:val="24"/>
        </w:rPr>
        <w:t>gift</w:t>
      </w:r>
      <w:r w:rsidR="00C71F8F" w:rsidRPr="0058239C">
        <w:rPr>
          <w:rFonts w:ascii="Arial" w:hAnsi="Arial" w:cs="Arial"/>
          <w:sz w:val="24"/>
          <w:szCs w:val="24"/>
        </w:rPr>
        <w:t xml:space="preserve"> purpose on record was not accurate</w:t>
      </w:r>
      <w:r w:rsidRPr="0058239C">
        <w:rPr>
          <w:rFonts w:ascii="Arial" w:hAnsi="Arial" w:cs="Arial"/>
          <w:sz w:val="24"/>
          <w:szCs w:val="24"/>
        </w:rPr>
        <w:t>, as well as some other policy compliance issues.</w:t>
      </w:r>
    </w:p>
    <w:p w:rsidR="00ED1DFC" w:rsidRPr="0058239C" w:rsidRDefault="00ED1DFC" w:rsidP="0058239C">
      <w:pPr>
        <w:overflowPunct w:val="0"/>
        <w:autoSpaceDE w:val="0"/>
        <w:autoSpaceDN w:val="0"/>
        <w:adjustRightInd w:val="0"/>
        <w:spacing w:after="0" w:line="360" w:lineRule="auto"/>
        <w:jc w:val="both"/>
        <w:textAlignment w:val="baseline"/>
        <w:rPr>
          <w:rFonts w:ascii="Arial" w:hAnsi="Arial" w:cs="Arial"/>
          <w:sz w:val="24"/>
          <w:szCs w:val="24"/>
        </w:rPr>
      </w:pPr>
    </w:p>
    <w:p w:rsidR="00ED1DFC" w:rsidRPr="0058239C" w:rsidRDefault="00ED1DFC" w:rsidP="0058239C">
      <w:pPr>
        <w:spacing w:after="0" w:line="360" w:lineRule="auto"/>
        <w:jc w:val="both"/>
        <w:rPr>
          <w:rFonts w:ascii="Arial" w:hAnsi="Arial" w:cs="Arial"/>
          <w:sz w:val="24"/>
          <w:szCs w:val="24"/>
        </w:rPr>
      </w:pPr>
      <w:r w:rsidRPr="0058239C">
        <w:rPr>
          <w:rFonts w:ascii="Arial" w:hAnsi="Arial" w:cs="Arial"/>
          <w:sz w:val="24"/>
          <w:szCs w:val="24"/>
        </w:rPr>
        <w:t xml:space="preserve">The audit results and recommendations are detailed in the remainder of this audit report.  </w:t>
      </w:r>
    </w:p>
    <w:p w:rsidR="00ED1DFC" w:rsidRDefault="00ED1DFC" w:rsidP="00ED1DFC">
      <w:pPr>
        <w:widowControl w:val="0"/>
        <w:spacing w:line="276" w:lineRule="auto"/>
        <w:jc w:val="both"/>
        <w:rPr>
          <w:rFonts w:ascii="Arial" w:hAnsi="Arial" w:cs="Arial"/>
          <w:u w:val="single"/>
        </w:rPr>
        <w:sectPr w:rsidR="00ED1DFC" w:rsidSect="00586F73">
          <w:headerReference w:type="even" r:id="rId11"/>
          <w:headerReference w:type="default" r:id="rId12"/>
          <w:footerReference w:type="default" r:id="rId13"/>
          <w:headerReference w:type="first" r:id="rId14"/>
          <w:pgSz w:w="15840" w:h="12240" w:orient="landscape" w:code="1"/>
          <w:pgMar w:top="1440" w:right="1440" w:bottom="864" w:left="1440" w:header="720" w:footer="720" w:gutter="0"/>
          <w:pgNumType w:start="1"/>
          <w:cols w:space="720"/>
          <w:titlePg/>
          <w:docGrid w:linePitch="360"/>
        </w:sectPr>
      </w:pPr>
    </w:p>
    <w:p w:rsidR="00ED1DFC" w:rsidRPr="0058239C" w:rsidRDefault="00ED1DFC" w:rsidP="0058239C">
      <w:pPr>
        <w:widowControl w:val="0"/>
        <w:spacing w:after="0" w:line="360" w:lineRule="auto"/>
        <w:jc w:val="both"/>
        <w:rPr>
          <w:rFonts w:ascii="Arial" w:hAnsi="Arial" w:cs="Arial"/>
          <w:sz w:val="24"/>
          <w:szCs w:val="24"/>
        </w:rPr>
      </w:pPr>
      <w:r w:rsidRPr="0058239C">
        <w:rPr>
          <w:rFonts w:ascii="Arial" w:hAnsi="Arial" w:cs="Arial"/>
          <w:sz w:val="24"/>
          <w:szCs w:val="24"/>
          <w:u w:val="single"/>
        </w:rPr>
        <w:lastRenderedPageBreak/>
        <w:t>Audit Results and Recommendations</w:t>
      </w:r>
    </w:p>
    <w:tbl>
      <w:tblPr>
        <w:tblStyle w:val="TableGrid"/>
        <w:tblW w:w="15120" w:type="dxa"/>
        <w:jc w:val="center"/>
        <w:tblLayout w:type="fixed"/>
        <w:tblLook w:val="01E0" w:firstRow="1" w:lastRow="1" w:firstColumn="1" w:lastColumn="1" w:noHBand="0" w:noVBand="0"/>
      </w:tblPr>
      <w:tblGrid>
        <w:gridCol w:w="480"/>
        <w:gridCol w:w="4880"/>
        <w:gridCol w:w="4880"/>
        <w:gridCol w:w="4880"/>
      </w:tblGrid>
      <w:tr w:rsidR="00ED1DFC" w:rsidRPr="00D46068" w:rsidTr="001C22E1">
        <w:trPr>
          <w:trHeight w:val="720"/>
          <w:tblHeader/>
          <w:jc w:val="center"/>
        </w:trPr>
        <w:tc>
          <w:tcPr>
            <w:tcW w:w="480" w:type="dxa"/>
            <w:tcBorders>
              <w:bottom w:val="single" w:sz="4" w:space="0" w:color="auto"/>
            </w:tcBorders>
            <w:shd w:val="clear" w:color="auto" w:fill="99CCFF"/>
            <w:vAlign w:val="center"/>
          </w:tcPr>
          <w:p w:rsidR="00ED1DFC" w:rsidRPr="001042D8" w:rsidRDefault="00ED1DFC" w:rsidP="001C22E1">
            <w:pPr>
              <w:jc w:val="center"/>
              <w:rPr>
                <w:rFonts w:ascii="Arial" w:hAnsi="Arial" w:cs="Arial"/>
                <w:b/>
                <w:sz w:val="22"/>
                <w:szCs w:val="22"/>
              </w:rPr>
            </w:pPr>
            <w:r w:rsidRPr="001042D8">
              <w:rPr>
                <w:rFonts w:ascii="Arial" w:hAnsi="Arial" w:cs="Arial"/>
                <w:b/>
                <w:sz w:val="22"/>
                <w:szCs w:val="22"/>
              </w:rPr>
              <w:t>#</w:t>
            </w:r>
          </w:p>
        </w:tc>
        <w:tc>
          <w:tcPr>
            <w:tcW w:w="4880" w:type="dxa"/>
            <w:tcBorders>
              <w:bottom w:val="single" w:sz="4" w:space="0" w:color="auto"/>
            </w:tcBorders>
            <w:shd w:val="clear" w:color="auto" w:fill="99CCFF"/>
            <w:vAlign w:val="center"/>
          </w:tcPr>
          <w:p w:rsidR="00ED1DFC" w:rsidRPr="001042D8" w:rsidRDefault="00ED1DFC" w:rsidP="001C22E1">
            <w:pPr>
              <w:jc w:val="center"/>
              <w:rPr>
                <w:rFonts w:ascii="Arial" w:hAnsi="Arial" w:cs="Arial"/>
                <w:b/>
                <w:sz w:val="22"/>
                <w:szCs w:val="22"/>
              </w:rPr>
            </w:pPr>
            <w:r w:rsidRPr="001042D8">
              <w:rPr>
                <w:rFonts w:ascii="Arial" w:hAnsi="Arial" w:cs="Arial"/>
                <w:b/>
                <w:sz w:val="22"/>
                <w:szCs w:val="22"/>
              </w:rPr>
              <w:t>FINDING and</w:t>
            </w:r>
          </w:p>
          <w:p w:rsidR="00ED1DFC" w:rsidRPr="001042D8" w:rsidRDefault="00ED1DFC" w:rsidP="001C22E1">
            <w:pPr>
              <w:jc w:val="center"/>
              <w:rPr>
                <w:rFonts w:ascii="Arial" w:hAnsi="Arial" w:cs="Arial"/>
                <w:b/>
                <w:sz w:val="22"/>
                <w:szCs w:val="22"/>
              </w:rPr>
            </w:pPr>
            <w:r>
              <w:rPr>
                <w:rFonts w:ascii="Arial" w:hAnsi="Arial" w:cs="Arial"/>
                <w:b/>
                <w:sz w:val="22"/>
                <w:szCs w:val="22"/>
              </w:rPr>
              <w:t>CRITERIA, where applicable</w:t>
            </w:r>
          </w:p>
        </w:tc>
        <w:tc>
          <w:tcPr>
            <w:tcW w:w="4880" w:type="dxa"/>
            <w:tcBorders>
              <w:bottom w:val="single" w:sz="4" w:space="0" w:color="auto"/>
            </w:tcBorders>
            <w:shd w:val="clear" w:color="auto" w:fill="99CCFF"/>
            <w:vAlign w:val="center"/>
          </w:tcPr>
          <w:p w:rsidR="00ED1DFC" w:rsidRPr="001042D8" w:rsidRDefault="00ED1DFC" w:rsidP="001C22E1">
            <w:pPr>
              <w:jc w:val="center"/>
              <w:rPr>
                <w:rFonts w:ascii="Arial" w:hAnsi="Arial" w:cs="Arial"/>
                <w:b/>
                <w:sz w:val="22"/>
                <w:szCs w:val="22"/>
              </w:rPr>
            </w:pPr>
            <w:r w:rsidRPr="001042D8">
              <w:rPr>
                <w:rFonts w:ascii="Arial" w:hAnsi="Arial" w:cs="Arial"/>
                <w:b/>
                <w:sz w:val="22"/>
                <w:szCs w:val="22"/>
              </w:rPr>
              <w:t>RECOMMENDATION</w:t>
            </w:r>
          </w:p>
        </w:tc>
        <w:tc>
          <w:tcPr>
            <w:tcW w:w="4880" w:type="dxa"/>
            <w:tcBorders>
              <w:bottom w:val="single" w:sz="4" w:space="0" w:color="auto"/>
            </w:tcBorders>
            <w:shd w:val="clear" w:color="auto" w:fill="99CCFF"/>
            <w:vAlign w:val="center"/>
          </w:tcPr>
          <w:p w:rsidR="00ED1DFC" w:rsidRPr="001042D8" w:rsidRDefault="00ED1DFC" w:rsidP="001C22E1">
            <w:pPr>
              <w:jc w:val="center"/>
              <w:rPr>
                <w:rFonts w:ascii="Arial" w:hAnsi="Arial" w:cs="Arial"/>
                <w:b/>
                <w:sz w:val="22"/>
                <w:szCs w:val="22"/>
              </w:rPr>
            </w:pPr>
            <w:r>
              <w:rPr>
                <w:rFonts w:ascii="Arial" w:hAnsi="Arial" w:cs="Arial"/>
                <w:b/>
                <w:sz w:val="22"/>
                <w:szCs w:val="22"/>
              </w:rPr>
              <w:t>MANAGEMENT</w:t>
            </w:r>
            <w:r w:rsidRPr="001042D8">
              <w:rPr>
                <w:rFonts w:ascii="Arial" w:hAnsi="Arial" w:cs="Arial"/>
                <w:b/>
                <w:sz w:val="22"/>
                <w:szCs w:val="22"/>
              </w:rPr>
              <w:t xml:space="preserve"> RESPONSE</w:t>
            </w:r>
          </w:p>
        </w:tc>
      </w:tr>
      <w:tr w:rsidR="00ED1DFC" w:rsidRPr="00D46068" w:rsidTr="001C22E1">
        <w:trPr>
          <w:trHeight w:val="360"/>
          <w:jc w:val="center"/>
        </w:trPr>
        <w:tc>
          <w:tcPr>
            <w:tcW w:w="15120" w:type="dxa"/>
            <w:gridSpan w:val="4"/>
            <w:shd w:val="clear" w:color="auto" w:fill="C0C0C0"/>
            <w:vAlign w:val="center"/>
          </w:tcPr>
          <w:p w:rsidR="00ED1DFC" w:rsidRPr="00D71027" w:rsidRDefault="00ED1DFC" w:rsidP="001C22E1">
            <w:pPr>
              <w:keepNext/>
              <w:rPr>
                <w:rFonts w:ascii="Arial" w:hAnsi="Arial" w:cs="Arial"/>
                <w:b/>
                <w:sz w:val="22"/>
                <w:szCs w:val="22"/>
              </w:rPr>
            </w:pPr>
            <w:r>
              <w:rPr>
                <w:rFonts w:ascii="Arial" w:hAnsi="Arial" w:cs="Arial"/>
                <w:b/>
                <w:sz w:val="22"/>
                <w:szCs w:val="22"/>
              </w:rPr>
              <w:t xml:space="preserve"> GIFT FUND PURPOSE</w:t>
            </w:r>
            <w:r w:rsidR="00C71F8F">
              <w:rPr>
                <w:rFonts w:ascii="Arial" w:hAnsi="Arial" w:cs="Arial"/>
                <w:b/>
                <w:sz w:val="22"/>
                <w:szCs w:val="22"/>
              </w:rPr>
              <w:t xml:space="preserve"> CONCERNS</w:t>
            </w:r>
          </w:p>
        </w:tc>
      </w:tr>
      <w:tr w:rsidR="00ED1DFC" w:rsidRPr="00190FC6" w:rsidTr="001C22E1">
        <w:trPr>
          <w:jc w:val="center"/>
        </w:trPr>
        <w:tc>
          <w:tcPr>
            <w:tcW w:w="480" w:type="dxa"/>
            <w:shd w:val="clear" w:color="auto" w:fill="auto"/>
          </w:tcPr>
          <w:p w:rsidR="00ED1DFC" w:rsidRPr="00A52B4A" w:rsidRDefault="00ED1DFC" w:rsidP="001C22E1">
            <w:pPr>
              <w:jc w:val="center"/>
              <w:rPr>
                <w:rFonts w:ascii="Arial" w:hAnsi="Arial" w:cs="Arial"/>
              </w:rPr>
            </w:pPr>
            <w:r>
              <w:rPr>
                <w:rFonts w:ascii="Arial" w:hAnsi="Arial" w:cs="Arial"/>
              </w:rPr>
              <w:t>1</w:t>
            </w:r>
          </w:p>
        </w:tc>
        <w:tc>
          <w:tcPr>
            <w:tcW w:w="4880" w:type="dxa"/>
            <w:shd w:val="clear" w:color="auto" w:fill="auto"/>
          </w:tcPr>
          <w:p w:rsidR="006A7E00" w:rsidRPr="004375BE" w:rsidRDefault="00086478" w:rsidP="001C22E1">
            <w:pPr>
              <w:rPr>
                <w:rFonts w:ascii="Arial" w:hAnsi="Arial" w:cs="Arial"/>
                <w:u w:val="single"/>
              </w:rPr>
            </w:pPr>
            <w:r w:rsidRPr="004375BE">
              <w:rPr>
                <w:rFonts w:ascii="Arial" w:hAnsi="Arial" w:cs="Arial"/>
                <w:u w:val="single"/>
              </w:rPr>
              <w:t>Fund with Misleading Purpose</w:t>
            </w:r>
          </w:p>
          <w:p w:rsidR="006A7E00" w:rsidRDefault="006A7E00" w:rsidP="001C22E1">
            <w:pPr>
              <w:rPr>
                <w:rFonts w:ascii="Arial" w:hAnsi="Arial" w:cs="Arial"/>
              </w:rPr>
            </w:pPr>
          </w:p>
          <w:p w:rsidR="006D3CC2" w:rsidRDefault="004375BE" w:rsidP="006D3CC2">
            <w:pPr>
              <w:rPr>
                <w:rFonts w:ascii="Arial" w:hAnsi="Arial" w:cs="Arial"/>
              </w:rPr>
            </w:pPr>
            <w:r>
              <w:rPr>
                <w:rFonts w:ascii="Arial" w:hAnsi="Arial" w:cs="Arial"/>
              </w:rPr>
              <w:t xml:space="preserve">The official fund purpose on record for one gift fund (50599O/54371) is </w:t>
            </w:r>
            <w:r w:rsidR="009E0AAD">
              <w:rPr>
                <w:rFonts w:ascii="Arial" w:hAnsi="Arial" w:cs="Arial"/>
              </w:rPr>
              <w:t xml:space="preserve">misleading.  </w:t>
            </w:r>
          </w:p>
          <w:p w:rsidR="006D3CC2" w:rsidRDefault="006D3CC2" w:rsidP="006D3CC2">
            <w:pPr>
              <w:rPr>
                <w:rFonts w:ascii="Arial" w:hAnsi="Arial" w:cs="Arial"/>
              </w:rPr>
            </w:pPr>
          </w:p>
          <w:p w:rsidR="006D3CC2" w:rsidRDefault="009E0AAD" w:rsidP="006D3CC2">
            <w:pPr>
              <w:rPr>
                <w:rFonts w:ascii="Arial" w:hAnsi="Arial" w:cs="Arial"/>
              </w:rPr>
            </w:pPr>
            <w:r>
              <w:rPr>
                <w:rFonts w:ascii="Arial" w:hAnsi="Arial" w:cs="Arial"/>
              </w:rPr>
              <w:t>Per a letter from the donor, the</w:t>
            </w:r>
            <w:r w:rsidR="006D3CC2">
              <w:rPr>
                <w:rFonts w:ascii="Arial" w:hAnsi="Arial" w:cs="Arial"/>
              </w:rPr>
              <w:t xml:space="preserve"> purpose of the </w:t>
            </w:r>
            <w:r>
              <w:rPr>
                <w:rFonts w:ascii="Arial" w:hAnsi="Arial" w:cs="Arial"/>
              </w:rPr>
              <w:t xml:space="preserve">gift </w:t>
            </w:r>
            <w:r w:rsidR="006D3CC2">
              <w:rPr>
                <w:rFonts w:ascii="Arial" w:hAnsi="Arial" w:cs="Arial"/>
              </w:rPr>
              <w:t>is</w:t>
            </w:r>
            <w:r w:rsidR="00F4702E">
              <w:rPr>
                <w:rFonts w:ascii="Arial" w:hAnsi="Arial" w:cs="Arial"/>
              </w:rPr>
              <w:t xml:space="preserve"> to</w:t>
            </w:r>
            <w:r w:rsidR="006D3CC2">
              <w:rPr>
                <w:rFonts w:ascii="Arial" w:hAnsi="Arial" w:cs="Arial"/>
              </w:rPr>
              <w:t xml:space="preserve">: </w:t>
            </w:r>
            <w:r>
              <w:rPr>
                <w:rFonts w:ascii="Arial" w:hAnsi="Arial" w:cs="Arial"/>
              </w:rPr>
              <w:t xml:space="preserve"> </w:t>
            </w:r>
          </w:p>
          <w:p w:rsidR="00057C2D" w:rsidRPr="006D3CC2" w:rsidRDefault="00BB3BB2" w:rsidP="0058239C">
            <w:pPr>
              <w:pStyle w:val="ListParagraph"/>
              <w:numPr>
                <w:ilvl w:val="0"/>
                <w:numId w:val="4"/>
              </w:numPr>
              <w:ind w:left="301" w:hanging="301"/>
              <w:rPr>
                <w:rFonts w:ascii="Arial" w:hAnsi="Arial" w:cs="Arial"/>
                <w:sz w:val="20"/>
                <w:szCs w:val="20"/>
              </w:rPr>
            </w:pPr>
            <w:r w:rsidRPr="006D3CC2">
              <w:rPr>
                <w:rFonts w:ascii="Arial" w:hAnsi="Arial" w:cs="Arial"/>
                <w:sz w:val="20"/>
                <w:szCs w:val="20"/>
              </w:rPr>
              <w:t>recruit faculty</w:t>
            </w:r>
          </w:p>
          <w:p w:rsidR="00057C2D" w:rsidRDefault="00057C2D" w:rsidP="0058239C">
            <w:pPr>
              <w:pStyle w:val="ListParagraph"/>
              <w:numPr>
                <w:ilvl w:val="0"/>
                <w:numId w:val="4"/>
              </w:numPr>
              <w:ind w:left="301" w:hanging="301"/>
              <w:rPr>
                <w:rFonts w:ascii="Arial" w:hAnsi="Arial" w:cs="Arial"/>
                <w:sz w:val="20"/>
                <w:szCs w:val="20"/>
              </w:rPr>
            </w:pPr>
            <w:r w:rsidRPr="00057C2D">
              <w:rPr>
                <w:rFonts w:ascii="Arial" w:hAnsi="Arial" w:cs="Arial"/>
                <w:sz w:val="20"/>
                <w:szCs w:val="20"/>
              </w:rPr>
              <w:t>expand intellectual capital through the recruitment of advanced trainees and support resources needed</w:t>
            </w:r>
          </w:p>
          <w:p w:rsidR="00057C2D" w:rsidRDefault="00057C2D" w:rsidP="0058239C">
            <w:pPr>
              <w:pStyle w:val="ListParagraph"/>
              <w:numPr>
                <w:ilvl w:val="0"/>
                <w:numId w:val="4"/>
              </w:numPr>
              <w:ind w:left="301" w:hanging="301"/>
              <w:rPr>
                <w:rFonts w:ascii="Arial" w:hAnsi="Arial" w:cs="Arial"/>
                <w:sz w:val="20"/>
                <w:szCs w:val="20"/>
              </w:rPr>
            </w:pPr>
            <w:r w:rsidRPr="00057C2D">
              <w:rPr>
                <w:rFonts w:ascii="Arial" w:hAnsi="Arial" w:cs="Arial"/>
                <w:sz w:val="20"/>
                <w:szCs w:val="20"/>
              </w:rPr>
              <w:t>renovate the designated clinic spaces within the existing Movement Disorders Clinic at 300 Medical Plaza and translational research spaces in the Reed Neurological Research Center</w:t>
            </w:r>
            <w:r w:rsidR="00F4702E">
              <w:rPr>
                <w:rFonts w:ascii="Arial" w:hAnsi="Arial" w:cs="Arial"/>
                <w:sz w:val="20"/>
                <w:szCs w:val="20"/>
              </w:rPr>
              <w:t>, and</w:t>
            </w:r>
          </w:p>
          <w:p w:rsidR="00057C2D" w:rsidRPr="00057C2D" w:rsidRDefault="00057C2D" w:rsidP="0058239C">
            <w:pPr>
              <w:pStyle w:val="ListParagraph"/>
              <w:numPr>
                <w:ilvl w:val="0"/>
                <w:numId w:val="4"/>
              </w:numPr>
              <w:ind w:left="301" w:hanging="270"/>
              <w:rPr>
                <w:rFonts w:ascii="Arial" w:hAnsi="Arial" w:cs="Arial"/>
                <w:sz w:val="20"/>
                <w:szCs w:val="20"/>
              </w:rPr>
            </w:pPr>
            <w:r w:rsidRPr="00057C2D">
              <w:rPr>
                <w:rFonts w:ascii="Arial" w:hAnsi="Arial" w:cs="Arial"/>
                <w:sz w:val="20"/>
                <w:szCs w:val="20"/>
              </w:rPr>
              <w:t xml:space="preserve">provide seed funding for novel research projects </w:t>
            </w:r>
          </w:p>
          <w:p w:rsidR="00057C2D" w:rsidRDefault="00057C2D" w:rsidP="001C22E1">
            <w:pPr>
              <w:rPr>
                <w:rFonts w:ascii="Arial" w:hAnsi="Arial" w:cs="Arial"/>
              </w:rPr>
            </w:pPr>
          </w:p>
          <w:p w:rsidR="008A7464" w:rsidRDefault="00057C2D" w:rsidP="001C22E1">
            <w:pPr>
              <w:rPr>
                <w:rFonts w:ascii="Arial" w:hAnsi="Arial" w:cs="Arial"/>
              </w:rPr>
            </w:pPr>
            <w:r>
              <w:rPr>
                <w:rFonts w:ascii="Arial" w:hAnsi="Arial" w:cs="Arial"/>
              </w:rPr>
              <w:t xml:space="preserve">Upon receipt of the gift in 2004, $4.4 </w:t>
            </w:r>
            <w:r w:rsidR="00AC2BC4">
              <w:rPr>
                <w:rFonts w:ascii="Arial" w:hAnsi="Arial" w:cs="Arial"/>
              </w:rPr>
              <w:t>m</w:t>
            </w:r>
            <w:r>
              <w:rPr>
                <w:rFonts w:ascii="Arial" w:hAnsi="Arial" w:cs="Arial"/>
              </w:rPr>
              <w:t xml:space="preserve">illion was placed in </w:t>
            </w:r>
            <w:r w:rsidR="00F4702E">
              <w:rPr>
                <w:rFonts w:ascii="Arial" w:hAnsi="Arial" w:cs="Arial"/>
              </w:rPr>
              <w:t xml:space="preserve">Foundation </w:t>
            </w:r>
            <w:r>
              <w:rPr>
                <w:rFonts w:ascii="Arial" w:hAnsi="Arial" w:cs="Arial"/>
              </w:rPr>
              <w:t>Gift Fund #61267O</w:t>
            </w:r>
            <w:r w:rsidR="006D3CC2">
              <w:rPr>
                <w:rFonts w:ascii="Arial" w:hAnsi="Arial" w:cs="Arial"/>
              </w:rPr>
              <w:t>, for which the gift purpose states</w:t>
            </w:r>
            <w:r w:rsidR="00914A97">
              <w:rPr>
                <w:rFonts w:ascii="Arial" w:hAnsi="Arial" w:cs="Arial"/>
              </w:rPr>
              <w:t>,</w:t>
            </w:r>
            <w:r w:rsidR="006D3CC2">
              <w:rPr>
                <w:rFonts w:ascii="Arial" w:hAnsi="Arial" w:cs="Arial"/>
              </w:rPr>
              <w:t xml:space="preserve"> “t</w:t>
            </w:r>
            <w:r w:rsidR="006D3CC2" w:rsidRPr="006D3CC2">
              <w:rPr>
                <w:rFonts w:ascii="Arial" w:hAnsi="Arial" w:cs="Arial"/>
              </w:rPr>
              <w:t>o provide immediate funding to recruit faculty, advanced trainees, support resources and seed funding for novel research projects at the discretion of the Chairman of the Department of Neurology.</w:t>
            </w:r>
            <w:r w:rsidR="006D3CC2">
              <w:rPr>
                <w:rFonts w:ascii="Arial" w:hAnsi="Arial" w:cs="Arial"/>
              </w:rPr>
              <w:t>”</w:t>
            </w:r>
            <w:r w:rsidR="008A7464">
              <w:rPr>
                <w:rFonts w:ascii="Arial" w:hAnsi="Arial" w:cs="Arial"/>
              </w:rPr>
              <w:t xml:space="preserve">  </w:t>
            </w:r>
          </w:p>
          <w:p w:rsidR="008A7464" w:rsidRDefault="008A7464" w:rsidP="001C22E1">
            <w:pPr>
              <w:rPr>
                <w:rFonts w:ascii="Arial" w:hAnsi="Arial" w:cs="Arial"/>
              </w:rPr>
            </w:pPr>
          </w:p>
          <w:p w:rsidR="00F4702E" w:rsidRDefault="008A7464" w:rsidP="001C22E1">
            <w:pPr>
              <w:rPr>
                <w:rFonts w:ascii="Arial" w:hAnsi="Arial" w:cs="Arial"/>
              </w:rPr>
            </w:pPr>
            <w:r>
              <w:rPr>
                <w:rFonts w:ascii="Arial" w:hAnsi="Arial" w:cs="Arial"/>
              </w:rPr>
              <w:t>The remaining $600,000 was put in</w:t>
            </w:r>
            <w:r w:rsidR="00607087">
              <w:rPr>
                <w:rFonts w:ascii="Arial" w:hAnsi="Arial" w:cs="Arial"/>
              </w:rPr>
              <w:t xml:space="preserve"> Foundation/ Campus </w:t>
            </w:r>
            <w:r>
              <w:rPr>
                <w:rFonts w:ascii="Arial" w:hAnsi="Arial" w:cs="Arial"/>
              </w:rPr>
              <w:t>Gift Fund</w:t>
            </w:r>
            <w:r w:rsidR="00607087">
              <w:rPr>
                <w:rFonts w:ascii="Arial" w:hAnsi="Arial" w:cs="Arial"/>
              </w:rPr>
              <w:t>s</w:t>
            </w:r>
            <w:r>
              <w:rPr>
                <w:rFonts w:ascii="Arial" w:hAnsi="Arial" w:cs="Arial"/>
              </w:rPr>
              <w:t xml:space="preserve"> 50599O</w:t>
            </w:r>
            <w:r w:rsidR="00BC5BC3">
              <w:rPr>
                <w:rFonts w:ascii="Arial" w:hAnsi="Arial" w:cs="Arial"/>
              </w:rPr>
              <w:t>/54371</w:t>
            </w:r>
            <w:r>
              <w:rPr>
                <w:rFonts w:ascii="Arial" w:hAnsi="Arial" w:cs="Arial"/>
              </w:rPr>
              <w:t>, for which the gift purpose states “t</w:t>
            </w:r>
            <w:r w:rsidRPr="008A7464">
              <w:rPr>
                <w:rFonts w:ascii="Arial" w:hAnsi="Arial" w:cs="Arial"/>
              </w:rPr>
              <w:t>o renovate designated clinic spaces within the existing Movement Disorders Clinic in the 300 Medical Plaza and designated translational research spaces in the Reed Neurological Research Center in the Department of Neurology.</w:t>
            </w:r>
            <w:r>
              <w:rPr>
                <w:rFonts w:ascii="Arial" w:hAnsi="Arial" w:cs="Arial"/>
              </w:rPr>
              <w:t>”  These renovations were considered to be part of the Westwood Replacement Project</w:t>
            </w:r>
            <w:r w:rsidR="00914A97">
              <w:rPr>
                <w:rFonts w:ascii="Arial" w:hAnsi="Arial" w:cs="Arial"/>
              </w:rPr>
              <w:t>,</w:t>
            </w:r>
            <w:r>
              <w:rPr>
                <w:rFonts w:ascii="Arial" w:hAnsi="Arial" w:cs="Arial"/>
              </w:rPr>
              <w:t xml:space="preserve"> </w:t>
            </w:r>
            <w:r w:rsidR="00F4702E">
              <w:rPr>
                <w:rFonts w:ascii="Arial" w:hAnsi="Arial" w:cs="Arial"/>
              </w:rPr>
              <w:t xml:space="preserve">so this portion of the gift was exempted </w:t>
            </w:r>
            <w:r>
              <w:rPr>
                <w:rFonts w:ascii="Arial" w:hAnsi="Arial" w:cs="Arial"/>
              </w:rPr>
              <w:t>from the gift administrative fee, which is currently 6.5%</w:t>
            </w:r>
            <w:r w:rsidR="00795703">
              <w:rPr>
                <w:rFonts w:ascii="Arial" w:hAnsi="Arial" w:cs="Arial"/>
              </w:rPr>
              <w:t xml:space="preserve">.  As of </w:t>
            </w:r>
            <w:r w:rsidR="00F4702E">
              <w:rPr>
                <w:rFonts w:ascii="Arial" w:hAnsi="Arial" w:cs="Arial"/>
              </w:rPr>
              <w:t xml:space="preserve">December 2017, </w:t>
            </w:r>
            <w:r w:rsidR="00215274">
              <w:rPr>
                <w:rFonts w:ascii="Arial" w:hAnsi="Arial" w:cs="Arial"/>
              </w:rPr>
              <w:t>there are</w:t>
            </w:r>
            <w:r w:rsidR="00EA06EF">
              <w:rPr>
                <w:rFonts w:ascii="Arial" w:hAnsi="Arial" w:cs="Arial"/>
              </w:rPr>
              <w:t xml:space="preserve"> </w:t>
            </w:r>
            <w:r w:rsidR="00215274">
              <w:rPr>
                <w:rFonts w:ascii="Arial" w:hAnsi="Arial" w:cs="Arial"/>
              </w:rPr>
              <w:t xml:space="preserve">a significant amount of </w:t>
            </w:r>
            <w:r w:rsidR="00EA06EF">
              <w:rPr>
                <w:rFonts w:ascii="Arial" w:hAnsi="Arial" w:cs="Arial"/>
              </w:rPr>
              <w:lastRenderedPageBreak/>
              <w:t xml:space="preserve">expenditures to-date </w:t>
            </w:r>
            <w:r w:rsidR="00215274">
              <w:rPr>
                <w:rFonts w:ascii="Arial" w:hAnsi="Arial" w:cs="Arial"/>
              </w:rPr>
              <w:t>that do not appear related to the renovations</w:t>
            </w:r>
            <w:r w:rsidR="00914A97">
              <w:rPr>
                <w:rFonts w:ascii="Arial" w:hAnsi="Arial" w:cs="Arial"/>
              </w:rPr>
              <w:t>,</w:t>
            </w:r>
            <w:r w:rsidR="00215274">
              <w:rPr>
                <w:rFonts w:ascii="Arial" w:hAnsi="Arial" w:cs="Arial"/>
              </w:rPr>
              <w:t xml:space="preserve"> including </w:t>
            </w:r>
            <w:r w:rsidR="00B52639">
              <w:rPr>
                <w:rFonts w:ascii="Arial" w:hAnsi="Arial" w:cs="Arial"/>
              </w:rPr>
              <w:t>salaries, benefits, lease-off-campus, chemical compounds,</w:t>
            </w:r>
            <w:r w:rsidR="00C54CE9">
              <w:rPr>
                <w:rFonts w:ascii="Arial" w:hAnsi="Arial" w:cs="Arial"/>
              </w:rPr>
              <w:t xml:space="preserve"> laboratory tests, supplies, and </w:t>
            </w:r>
            <w:r w:rsidR="00215274">
              <w:rPr>
                <w:rFonts w:ascii="Arial" w:hAnsi="Arial" w:cs="Arial"/>
              </w:rPr>
              <w:t>travel</w:t>
            </w:r>
            <w:r w:rsidR="00C54CE9">
              <w:rPr>
                <w:rFonts w:ascii="Arial" w:hAnsi="Arial" w:cs="Arial"/>
              </w:rPr>
              <w:t>.</w:t>
            </w:r>
            <w:r w:rsidR="00EA06EF">
              <w:rPr>
                <w:rFonts w:ascii="Arial" w:hAnsi="Arial" w:cs="Arial"/>
              </w:rPr>
              <w:t xml:space="preserve">  The</w:t>
            </w:r>
            <w:r w:rsidR="00BC5BC3">
              <w:rPr>
                <w:rFonts w:ascii="Arial" w:hAnsi="Arial" w:cs="Arial"/>
              </w:rPr>
              <w:t xml:space="preserve"> remaining</w:t>
            </w:r>
            <w:r w:rsidR="00F4702E">
              <w:rPr>
                <w:rFonts w:ascii="Arial" w:hAnsi="Arial" w:cs="Arial"/>
              </w:rPr>
              <w:t xml:space="preserve"> fund</w:t>
            </w:r>
            <w:r w:rsidR="00B539AD">
              <w:rPr>
                <w:rFonts w:ascii="Arial" w:hAnsi="Arial" w:cs="Arial"/>
              </w:rPr>
              <w:t xml:space="preserve"> </w:t>
            </w:r>
            <w:r w:rsidR="00EA06EF">
              <w:rPr>
                <w:rFonts w:ascii="Arial" w:hAnsi="Arial" w:cs="Arial"/>
              </w:rPr>
              <w:t>balance is</w:t>
            </w:r>
            <w:r w:rsidR="00B539AD">
              <w:rPr>
                <w:rFonts w:ascii="Arial" w:hAnsi="Arial" w:cs="Arial"/>
              </w:rPr>
              <w:t xml:space="preserve"> </w:t>
            </w:r>
            <w:r w:rsidR="00716B73">
              <w:rPr>
                <w:rFonts w:ascii="Arial" w:hAnsi="Arial" w:cs="Arial"/>
              </w:rPr>
              <w:t xml:space="preserve">$232,186.  </w:t>
            </w:r>
          </w:p>
          <w:p w:rsidR="00F4702E" w:rsidRDefault="00F4702E" w:rsidP="001C22E1">
            <w:pPr>
              <w:rPr>
                <w:rFonts w:ascii="Arial" w:hAnsi="Arial" w:cs="Arial"/>
              </w:rPr>
            </w:pPr>
          </w:p>
          <w:p w:rsidR="002009B3" w:rsidRDefault="00F4702E" w:rsidP="001C22E1">
            <w:pPr>
              <w:rPr>
                <w:rFonts w:ascii="Arial" w:hAnsi="Arial" w:cs="Arial"/>
              </w:rPr>
            </w:pPr>
            <w:r>
              <w:rPr>
                <w:rFonts w:ascii="Arial" w:hAnsi="Arial" w:cs="Arial"/>
              </w:rPr>
              <w:t xml:space="preserve">While the non-renovation expenditures to-date appear to fall within the multiple purposes originally intended by the donor, </w:t>
            </w:r>
            <w:r w:rsidR="002009B3">
              <w:rPr>
                <w:rFonts w:ascii="Arial" w:hAnsi="Arial" w:cs="Arial"/>
              </w:rPr>
              <w:t>the current of</w:t>
            </w:r>
            <w:r w:rsidR="00EA06EF">
              <w:rPr>
                <w:rFonts w:ascii="Arial" w:hAnsi="Arial" w:cs="Arial"/>
              </w:rPr>
              <w:t>ficial purpose on record for this</w:t>
            </w:r>
            <w:r w:rsidR="002009B3">
              <w:rPr>
                <w:rFonts w:ascii="Arial" w:hAnsi="Arial" w:cs="Arial"/>
              </w:rPr>
              <w:t xml:space="preserve"> gift fund creates the appearance of </w:t>
            </w:r>
            <w:r w:rsidR="00EA06EF">
              <w:rPr>
                <w:rFonts w:ascii="Arial" w:hAnsi="Arial" w:cs="Arial"/>
              </w:rPr>
              <w:t>a deviation from the donor’s intent</w:t>
            </w:r>
            <w:r w:rsidR="002009B3">
              <w:rPr>
                <w:rFonts w:ascii="Arial" w:hAnsi="Arial" w:cs="Arial"/>
              </w:rPr>
              <w:t>.</w:t>
            </w:r>
          </w:p>
          <w:p w:rsidR="006A7E00" w:rsidRPr="00944724" w:rsidRDefault="006A7E00" w:rsidP="001C22E1">
            <w:pPr>
              <w:rPr>
                <w:rFonts w:ascii="Arial" w:hAnsi="Arial" w:cs="Arial"/>
              </w:rPr>
            </w:pPr>
          </w:p>
        </w:tc>
        <w:tc>
          <w:tcPr>
            <w:tcW w:w="4880" w:type="dxa"/>
            <w:shd w:val="clear" w:color="auto" w:fill="auto"/>
          </w:tcPr>
          <w:p w:rsidR="00ED1DFC" w:rsidRDefault="00ED1DFC" w:rsidP="001C22E1">
            <w:pPr>
              <w:rPr>
                <w:rFonts w:ascii="Arial" w:hAnsi="Arial" w:cs="Arial"/>
              </w:rPr>
            </w:pPr>
          </w:p>
          <w:p w:rsidR="006D3CC2" w:rsidRDefault="006D3CC2" w:rsidP="001C22E1">
            <w:pPr>
              <w:rPr>
                <w:rFonts w:ascii="Arial" w:hAnsi="Arial" w:cs="Arial"/>
              </w:rPr>
            </w:pPr>
          </w:p>
          <w:p w:rsidR="00BC5BC3" w:rsidRPr="00A82AEE" w:rsidRDefault="00BC5BC3" w:rsidP="009F27A0">
            <w:pPr>
              <w:rPr>
                <w:rFonts w:ascii="Arial" w:hAnsi="Arial" w:cs="Arial"/>
              </w:rPr>
            </w:pPr>
            <w:r>
              <w:rPr>
                <w:rFonts w:ascii="Arial" w:hAnsi="Arial" w:cs="Arial"/>
              </w:rPr>
              <w:t xml:space="preserve">The department should </w:t>
            </w:r>
            <w:r w:rsidR="00F76AA2">
              <w:rPr>
                <w:rFonts w:ascii="Arial" w:hAnsi="Arial" w:cs="Arial"/>
              </w:rPr>
              <w:t xml:space="preserve">work with </w:t>
            </w:r>
            <w:r w:rsidR="00F76AA2" w:rsidRPr="00CE2A99">
              <w:rPr>
                <w:rFonts w:ascii="Arial" w:hAnsi="Arial" w:cs="Arial"/>
              </w:rPr>
              <w:t>External Affairs Fund Management/Support Services</w:t>
            </w:r>
            <w:r w:rsidR="00F76AA2">
              <w:rPr>
                <w:rFonts w:ascii="Arial" w:hAnsi="Arial" w:cs="Arial"/>
              </w:rPr>
              <w:t xml:space="preserve"> to modify the official gift purpose.  Because there </w:t>
            </w:r>
            <w:r w:rsidR="009F27A0">
              <w:rPr>
                <w:rFonts w:ascii="Arial" w:hAnsi="Arial" w:cs="Arial"/>
              </w:rPr>
              <w:t>is</w:t>
            </w:r>
            <w:r w:rsidR="00F76AA2">
              <w:rPr>
                <w:rFonts w:ascii="Arial" w:hAnsi="Arial" w:cs="Arial"/>
              </w:rPr>
              <w:t xml:space="preserve"> a significant amount of expenditures charged to this fund that are not related to renovations, there is a need to evaluate whether the gift administrative fee should be paid.</w:t>
            </w:r>
          </w:p>
        </w:tc>
        <w:tc>
          <w:tcPr>
            <w:tcW w:w="4880" w:type="dxa"/>
            <w:shd w:val="clear" w:color="auto" w:fill="auto"/>
          </w:tcPr>
          <w:p w:rsidR="00ED1DFC" w:rsidRDefault="00ED1DFC" w:rsidP="001C22E1">
            <w:pPr>
              <w:rPr>
                <w:rFonts w:ascii="Arial" w:hAnsi="Arial" w:cs="Arial"/>
              </w:rPr>
            </w:pPr>
          </w:p>
          <w:p w:rsidR="00ED1DFC" w:rsidRDefault="00ED1DFC" w:rsidP="001C22E1">
            <w:pPr>
              <w:rPr>
                <w:rFonts w:ascii="Arial" w:hAnsi="Arial" w:cs="Arial"/>
              </w:rPr>
            </w:pPr>
          </w:p>
          <w:p w:rsidR="00F22E28" w:rsidRDefault="0029367C" w:rsidP="001C22E1">
            <w:pPr>
              <w:rPr>
                <w:rFonts w:ascii="Arial" w:hAnsi="Arial" w:cs="Arial"/>
              </w:rPr>
            </w:pPr>
            <w:r>
              <w:rPr>
                <w:rFonts w:ascii="Arial" w:hAnsi="Arial" w:cs="Arial"/>
              </w:rPr>
              <w:t xml:space="preserve">The Department maintains that care was taken </w:t>
            </w:r>
            <w:r w:rsidR="00575FCA">
              <w:rPr>
                <w:rFonts w:ascii="Arial" w:hAnsi="Arial" w:cs="Arial"/>
              </w:rPr>
              <w:t>to ensure</w:t>
            </w:r>
            <w:r w:rsidR="00D952E3">
              <w:rPr>
                <w:rFonts w:ascii="Arial" w:hAnsi="Arial" w:cs="Arial"/>
              </w:rPr>
              <w:t xml:space="preserve"> that</w:t>
            </w:r>
            <w:r>
              <w:rPr>
                <w:rFonts w:ascii="Arial" w:hAnsi="Arial" w:cs="Arial"/>
              </w:rPr>
              <w:t xml:space="preserve"> these funds were used in accordance with the four stated aims of the donor, a point with which the auditor appears to agree. </w:t>
            </w:r>
            <w:r w:rsidR="003F2F3B">
              <w:rPr>
                <w:rFonts w:ascii="Arial" w:hAnsi="Arial" w:cs="Arial"/>
              </w:rPr>
              <w:t xml:space="preserve"> </w:t>
            </w:r>
            <w:r>
              <w:rPr>
                <w:rFonts w:ascii="Arial" w:hAnsi="Arial" w:cs="Arial"/>
              </w:rPr>
              <w:t>We disagree with the term “</w:t>
            </w:r>
            <w:r w:rsidR="003F2F3B">
              <w:rPr>
                <w:rFonts w:ascii="Arial" w:hAnsi="Arial" w:cs="Arial"/>
              </w:rPr>
              <w:t>m</w:t>
            </w:r>
            <w:r>
              <w:rPr>
                <w:rFonts w:ascii="Arial" w:hAnsi="Arial" w:cs="Arial"/>
              </w:rPr>
              <w:t>isleading</w:t>
            </w:r>
            <w:r w:rsidR="003F2F3B">
              <w:rPr>
                <w:rFonts w:ascii="Arial" w:hAnsi="Arial" w:cs="Arial"/>
              </w:rPr>
              <w:t>,</w:t>
            </w:r>
            <w:r>
              <w:rPr>
                <w:rFonts w:ascii="Arial" w:hAnsi="Arial" w:cs="Arial"/>
              </w:rPr>
              <w:t>”</w:t>
            </w:r>
            <w:r w:rsidR="005A4530">
              <w:rPr>
                <w:rFonts w:ascii="Arial" w:hAnsi="Arial" w:cs="Arial"/>
              </w:rPr>
              <w:t xml:space="preserve"> and of the conclusion that the use of these funds “deviated from the donor’s intent.” </w:t>
            </w:r>
          </w:p>
          <w:p w:rsidR="00655D4D" w:rsidRDefault="00655D4D" w:rsidP="001C22E1">
            <w:pPr>
              <w:rPr>
                <w:rFonts w:ascii="Arial" w:hAnsi="Arial" w:cs="Arial"/>
              </w:rPr>
            </w:pPr>
          </w:p>
          <w:p w:rsidR="00655D4D" w:rsidRDefault="00655D4D" w:rsidP="001C22E1">
            <w:pPr>
              <w:rPr>
                <w:rFonts w:ascii="Arial" w:hAnsi="Arial" w:cs="Arial"/>
              </w:rPr>
            </w:pPr>
            <w:r>
              <w:rPr>
                <w:rFonts w:ascii="Arial" w:hAnsi="Arial" w:cs="Arial"/>
              </w:rPr>
              <w:t>We have an excellent working relationship with our development officer team and will continue to work with them to ensure that funds are expended in accordance with donor intent.</w:t>
            </w:r>
          </w:p>
          <w:p w:rsidR="00ED1DFC" w:rsidRDefault="00ED1DFC" w:rsidP="001C22E1">
            <w:pPr>
              <w:rPr>
                <w:rFonts w:ascii="Arial" w:hAnsi="Arial" w:cs="Arial"/>
              </w:rPr>
            </w:pPr>
          </w:p>
          <w:p w:rsidR="00096DFA" w:rsidRPr="00096DFA" w:rsidRDefault="00096DFA" w:rsidP="00096DFA">
            <w:pPr>
              <w:rPr>
                <w:rFonts w:ascii="Arial" w:hAnsi="Arial" w:cs="Arial"/>
                <w:i/>
                <w:iCs/>
              </w:rPr>
            </w:pPr>
            <w:r w:rsidRPr="00096DFA">
              <w:rPr>
                <w:rFonts w:ascii="Arial" w:hAnsi="Arial" w:cs="Arial"/>
                <w:u w:val="single"/>
              </w:rPr>
              <w:t>Additional Audit Comment</w:t>
            </w:r>
            <w:r>
              <w:rPr>
                <w:rFonts w:ascii="Arial" w:hAnsi="Arial" w:cs="Arial"/>
              </w:rPr>
              <w:t xml:space="preserve">: </w:t>
            </w:r>
          </w:p>
          <w:p w:rsidR="00096DFA" w:rsidRPr="00096DFA" w:rsidRDefault="00096DFA" w:rsidP="00096DFA">
            <w:pPr>
              <w:rPr>
                <w:rFonts w:ascii="Arial" w:hAnsi="Arial" w:cs="Arial"/>
              </w:rPr>
            </w:pPr>
            <w:r w:rsidRPr="00096DFA">
              <w:rPr>
                <w:rFonts w:ascii="Arial" w:hAnsi="Arial" w:cs="Arial"/>
                <w:iCs/>
              </w:rPr>
              <w:t>It is only the more restrictive stated purpose of gift fund 50599O/54371 that is at issue, not the expenditures themselves.   Therefore, A&amp;AS has alerted External Affairs of the need to adjust the stated purpose so that it accurately reflects the donor’s wishes, which encompassed multiple purposes</w:t>
            </w:r>
            <w:r w:rsidRPr="00096DFA">
              <w:rPr>
                <w:rFonts w:ascii="Arial" w:hAnsi="Arial" w:cs="Arial"/>
                <w:i/>
                <w:iCs/>
              </w:rPr>
              <w:t xml:space="preserve">.  </w:t>
            </w:r>
          </w:p>
          <w:p w:rsidR="00096DFA" w:rsidRPr="00096DFA" w:rsidRDefault="00096DFA" w:rsidP="00096DFA">
            <w:pPr>
              <w:rPr>
                <w:rFonts w:ascii="Arial" w:hAnsi="Arial" w:cs="Arial"/>
              </w:rPr>
            </w:pPr>
          </w:p>
          <w:p w:rsidR="00096DFA" w:rsidRPr="00190FC6" w:rsidRDefault="00096DFA" w:rsidP="001C22E1">
            <w:pPr>
              <w:rPr>
                <w:rFonts w:ascii="Arial" w:hAnsi="Arial" w:cs="Arial"/>
              </w:rPr>
            </w:pPr>
            <w:r>
              <w:rPr>
                <w:rFonts w:ascii="Arial" w:hAnsi="Arial" w:cs="Arial"/>
              </w:rPr>
              <w:t xml:space="preserve"> </w:t>
            </w:r>
          </w:p>
        </w:tc>
      </w:tr>
      <w:tr w:rsidR="00ED1DFC" w:rsidRPr="00190FC6" w:rsidTr="001C22E1">
        <w:trPr>
          <w:jc w:val="center"/>
        </w:trPr>
        <w:tc>
          <w:tcPr>
            <w:tcW w:w="480" w:type="dxa"/>
            <w:shd w:val="clear" w:color="auto" w:fill="auto"/>
          </w:tcPr>
          <w:p w:rsidR="00ED1DFC" w:rsidRPr="00A52B4A" w:rsidRDefault="00ED1DFC" w:rsidP="001C22E1">
            <w:pPr>
              <w:jc w:val="center"/>
              <w:rPr>
                <w:rFonts w:ascii="Arial" w:hAnsi="Arial" w:cs="Arial"/>
              </w:rPr>
            </w:pPr>
            <w:r>
              <w:rPr>
                <w:rFonts w:ascii="Arial" w:hAnsi="Arial" w:cs="Arial"/>
              </w:rPr>
              <w:t>2</w:t>
            </w:r>
          </w:p>
        </w:tc>
        <w:tc>
          <w:tcPr>
            <w:tcW w:w="4880" w:type="dxa"/>
            <w:shd w:val="clear" w:color="auto" w:fill="auto"/>
          </w:tcPr>
          <w:p w:rsidR="006A7E00" w:rsidRPr="006A7E00" w:rsidRDefault="006A7E00" w:rsidP="001C22E1">
            <w:pPr>
              <w:autoSpaceDE w:val="0"/>
              <w:autoSpaceDN w:val="0"/>
              <w:adjustRightInd w:val="0"/>
              <w:rPr>
                <w:rFonts w:ascii="Arial" w:hAnsi="Arial"/>
                <w:u w:val="single"/>
              </w:rPr>
            </w:pPr>
            <w:r w:rsidRPr="006A7E00">
              <w:rPr>
                <w:rFonts w:ascii="Arial" w:hAnsi="Arial"/>
                <w:u w:val="single"/>
              </w:rPr>
              <w:t>Fund Assigned to Separated/Deceased Faculty</w:t>
            </w:r>
            <w:r w:rsidR="00944724">
              <w:rPr>
                <w:rFonts w:ascii="Arial" w:hAnsi="Arial"/>
                <w:u w:val="single"/>
              </w:rPr>
              <w:t xml:space="preserve"> </w:t>
            </w:r>
          </w:p>
          <w:p w:rsidR="006A7E00" w:rsidRDefault="006A7E00" w:rsidP="001C22E1">
            <w:pPr>
              <w:autoSpaceDE w:val="0"/>
              <w:autoSpaceDN w:val="0"/>
              <w:adjustRightInd w:val="0"/>
              <w:rPr>
                <w:rFonts w:ascii="Arial" w:hAnsi="Arial"/>
              </w:rPr>
            </w:pPr>
          </w:p>
          <w:p w:rsidR="00914A97" w:rsidRDefault="006A7E00" w:rsidP="001C22E1">
            <w:pPr>
              <w:autoSpaceDE w:val="0"/>
              <w:autoSpaceDN w:val="0"/>
              <w:adjustRightInd w:val="0"/>
              <w:rPr>
                <w:rFonts w:ascii="Arial" w:hAnsi="Arial"/>
              </w:rPr>
            </w:pPr>
            <w:r>
              <w:rPr>
                <w:rFonts w:ascii="Arial" w:hAnsi="Arial"/>
              </w:rPr>
              <w:t xml:space="preserve">The official purpose of one gift fund (#37288) is to support teaching and research under the direction of a faculty member who had a “without salary” appointment </w:t>
            </w:r>
            <w:r w:rsidR="00C54CE9">
              <w:rPr>
                <w:rFonts w:ascii="Arial" w:hAnsi="Arial"/>
              </w:rPr>
              <w:t>starting in</w:t>
            </w:r>
            <w:r>
              <w:rPr>
                <w:rFonts w:ascii="Arial" w:hAnsi="Arial"/>
              </w:rPr>
              <w:t xml:space="preserve"> 1994 and passed away in 2010.</w:t>
            </w:r>
            <w:r w:rsidR="009567F0">
              <w:rPr>
                <w:rFonts w:ascii="Arial" w:hAnsi="Arial"/>
              </w:rPr>
              <w:t xml:space="preserve"> </w:t>
            </w:r>
          </w:p>
          <w:p w:rsidR="00914A97" w:rsidRDefault="00914A97" w:rsidP="001C22E1">
            <w:pPr>
              <w:autoSpaceDE w:val="0"/>
              <w:autoSpaceDN w:val="0"/>
              <w:adjustRightInd w:val="0"/>
              <w:rPr>
                <w:rFonts w:ascii="Arial" w:hAnsi="Arial"/>
              </w:rPr>
            </w:pPr>
          </w:p>
          <w:p w:rsidR="006A7E00" w:rsidRDefault="006A7E00" w:rsidP="001C22E1">
            <w:pPr>
              <w:autoSpaceDE w:val="0"/>
              <w:autoSpaceDN w:val="0"/>
              <w:adjustRightInd w:val="0"/>
              <w:rPr>
                <w:rFonts w:ascii="Arial" w:hAnsi="Arial"/>
              </w:rPr>
            </w:pPr>
            <w:r>
              <w:rPr>
                <w:rFonts w:ascii="Arial" w:hAnsi="Arial"/>
              </w:rPr>
              <w:t xml:space="preserve">Gift funds should be associated only with </w:t>
            </w:r>
            <w:r w:rsidR="00397CD6">
              <w:rPr>
                <w:rFonts w:ascii="Arial" w:hAnsi="Arial"/>
              </w:rPr>
              <w:t>UCLA employees.</w:t>
            </w:r>
          </w:p>
          <w:p w:rsidR="006A7E00" w:rsidRDefault="006A7E00" w:rsidP="001C22E1">
            <w:pPr>
              <w:autoSpaceDE w:val="0"/>
              <w:autoSpaceDN w:val="0"/>
              <w:adjustRightInd w:val="0"/>
              <w:rPr>
                <w:rFonts w:ascii="Arial" w:hAnsi="Arial"/>
              </w:rPr>
            </w:pPr>
          </w:p>
          <w:p w:rsidR="006A7E00" w:rsidRDefault="006A7E00" w:rsidP="001C22E1">
            <w:pPr>
              <w:autoSpaceDE w:val="0"/>
              <w:autoSpaceDN w:val="0"/>
              <w:adjustRightInd w:val="0"/>
              <w:rPr>
                <w:rFonts w:ascii="Arial" w:hAnsi="Arial"/>
              </w:rPr>
            </w:pPr>
          </w:p>
          <w:p w:rsidR="006A7E00" w:rsidRPr="006A7E00" w:rsidRDefault="006A7E00" w:rsidP="001C22E1">
            <w:pPr>
              <w:autoSpaceDE w:val="0"/>
              <w:autoSpaceDN w:val="0"/>
              <w:adjustRightInd w:val="0"/>
              <w:rPr>
                <w:rFonts w:ascii="Arial" w:hAnsi="Arial"/>
              </w:rPr>
            </w:pPr>
          </w:p>
        </w:tc>
        <w:tc>
          <w:tcPr>
            <w:tcW w:w="4880" w:type="dxa"/>
            <w:shd w:val="clear" w:color="auto" w:fill="auto"/>
          </w:tcPr>
          <w:p w:rsidR="006A7E00" w:rsidRDefault="006A7E00" w:rsidP="001C22E1">
            <w:pPr>
              <w:autoSpaceDE w:val="0"/>
              <w:autoSpaceDN w:val="0"/>
              <w:adjustRightInd w:val="0"/>
              <w:rPr>
                <w:rFonts w:ascii="Arial" w:hAnsi="Arial" w:cs="Arial"/>
              </w:rPr>
            </w:pPr>
          </w:p>
          <w:p w:rsidR="006A7E00" w:rsidRDefault="006A7E00" w:rsidP="001C22E1">
            <w:pPr>
              <w:autoSpaceDE w:val="0"/>
              <w:autoSpaceDN w:val="0"/>
              <w:adjustRightInd w:val="0"/>
              <w:rPr>
                <w:rFonts w:ascii="Arial" w:hAnsi="Arial" w:cs="Arial"/>
              </w:rPr>
            </w:pPr>
          </w:p>
          <w:p w:rsidR="006A7E00" w:rsidRPr="00CE2A99" w:rsidRDefault="006A7E00" w:rsidP="006A7E00">
            <w:pPr>
              <w:autoSpaceDE w:val="0"/>
              <w:autoSpaceDN w:val="0"/>
              <w:adjustRightInd w:val="0"/>
              <w:rPr>
                <w:rFonts w:ascii="Arial" w:hAnsi="Arial" w:cs="Arial"/>
              </w:rPr>
            </w:pPr>
            <w:r>
              <w:rPr>
                <w:rFonts w:ascii="Arial" w:hAnsi="Arial" w:cs="Arial"/>
              </w:rPr>
              <w:t>The department</w:t>
            </w:r>
            <w:r w:rsidRPr="00CE2A99">
              <w:rPr>
                <w:rFonts w:ascii="Arial" w:hAnsi="Arial" w:cs="Arial"/>
              </w:rPr>
              <w:t xml:space="preserve"> should ensure that all gift funds </w:t>
            </w:r>
            <w:r w:rsidR="00397CD6">
              <w:rPr>
                <w:rFonts w:ascii="Arial" w:hAnsi="Arial" w:cs="Arial"/>
              </w:rPr>
              <w:t>are</w:t>
            </w:r>
            <w:r w:rsidRPr="00CE2A99">
              <w:rPr>
                <w:rFonts w:ascii="Arial" w:hAnsi="Arial" w:cs="Arial"/>
              </w:rPr>
              <w:t xml:space="preserve"> assigned to compensated faculty members only.  Should a faculty member assigned to a gift fund separate from the University, the department should work with External Affairs Fund Management/</w:t>
            </w:r>
            <w:r w:rsidR="00562D29">
              <w:rPr>
                <w:rFonts w:ascii="Arial" w:hAnsi="Arial" w:cs="Arial"/>
              </w:rPr>
              <w:t xml:space="preserve"> </w:t>
            </w:r>
            <w:r w:rsidRPr="00CE2A99">
              <w:rPr>
                <w:rFonts w:ascii="Arial" w:hAnsi="Arial" w:cs="Arial"/>
              </w:rPr>
              <w:t xml:space="preserve">Support Services to re-designate the gift funds to compensated faculty members who do similar research.  If appropriate substitutes are not available, the </w:t>
            </w:r>
            <w:r w:rsidR="006F4F8C">
              <w:rPr>
                <w:rFonts w:ascii="Arial" w:hAnsi="Arial" w:cs="Arial"/>
              </w:rPr>
              <w:t xml:space="preserve">department should work with </w:t>
            </w:r>
            <w:r w:rsidR="009F27A0">
              <w:rPr>
                <w:rFonts w:ascii="Arial" w:hAnsi="Arial" w:cs="Arial"/>
              </w:rPr>
              <w:t xml:space="preserve">External Affairs </w:t>
            </w:r>
            <w:r w:rsidR="006F4F8C">
              <w:rPr>
                <w:rFonts w:ascii="Arial" w:hAnsi="Arial" w:cs="Arial"/>
              </w:rPr>
              <w:t>Development for guidance</w:t>
            </w:r>
            <w:r w:rsidR="00C54CE9">
              <w:rPr>
                <w:rFonts w:ascii="Arial" w:hAnsi="Arial" w:cs="Arial"/>
              </w:rPr>
              <w:t>.</w:t>
            </w:r>
          </w:p>
          <w:p w:rsidR="006A7E00" w:rsidRPr="00A82AEE" w:rsidRDefault="006A7E00" w:rsidP="001C22E1">
            <w:pPr>
              <w:autoSpaceDE w:val="0"/>
              <w:autoSpaceDN w:val="0"/>
              <w:adjustRightInd w:val="0"/>
              <w:rPr>
                <w:rFonts w:ascii="Arial" w:hAnsi="Arial" w:cs="Arial"/>
              </w:rPr>
            </w:pPr>
          </w:p>
        </w:tc>
        <w:tc>
          <w:tcPr>
            <w:tcW w:w="4880" w:type="dxa"/>
            <w:shd w:val="clear" w:color="auto" w:fill="auto"/>
          </w:tcPr>
          <w:p w:rsidR="00ED1DFC" w:rsidRDefault="00ED1DFC" w:rsidP="001C22E1">
            <w:pPr>
              <w:rPr>
                <w:rFonts w:ascii="Arial" w:hAnsi="Arial" w:cs="Arial"/>
              </w:rPr>
            </w:pPr>
          </w:p>
          <w:p w:rsidR="00ED1DFC" w:rsidRDefault="00ED1DFC" w:rsidP="001C22E1">
            <w:pPr>
              <w:rPr>
                <w:rFonts w:ascii="Arial" w:hAnsi="Arial" w:cs="Arial"/>
              </w:rPr>
            </w:pPr>
          </w:p>
          <w:p w:rsidR="00ED1DFC" w:rsidRPr="00190FC6" w:rsidRDefault="00614DA9" w:rsidP="001C22E1">
            <w:pPr>
              <w:rPr>
                <w:rFonts w:ascii="Arial" w:hAnsi="Arial" w:cs="Arial"/>
              </w:rPr>
            </w:pPr>
            <w:r>
              <w:rPr>
                <w:rFonts w:ascii="Arial" w:hAnsi="Arial" w:cs="Arial"/>
              </w:rPr>
              <w:t>We agree with and will follow the stated recommendation.</w:t>
            </w:r>
          </w:p>
        </w:tc>
      </w:tr>
      <w:tr w:rsidR="00ED1DFC" w:rsidRPr="00D71027" w:rsidTr="001C22E1">
        <w:trPr>
          <w:trHeight w:val="360"/>
          <w:jc w:val="center"/>
        </w:trPr>
        <w:tc>
          <w:tcPr>
            <w:tcW w:w="15120" w:type="dxa"/>
            <w:gridSpan w:val="4"/>
            <w:shd w:val="clear" w:color="auto" w:fill="C0C0C0"/>
            <w:vAlign w:val="center"/>
          </w:tcPr>
          <w:p w:rsidR="00ED1DFC" w:rsidRPr="00D71027" w:rsidRDefault="00ED1DFC" w:rsidP="001C22E1">
            <w:pPr>
              <w:keepNext/>
              <w:rPr>
                <w:rFonts w:ascii="Arial" w:hAnsi="Arial" w:cs="Arial"/>
                <w:b/>
                <w:sz w:val="22"/>
                <w:szCs w:val="22"/>
              </w:rPr>
            </w:pPr>
            <w:r>
              <w:rPr>
                <w:rFonts w:ascii="Arial" w:hAnsi="Arial" w:cs="Arial"/>
                <w:b/>
                <w:sz w:val="22"/>
                <w:szCs w:val="22"/>
              </w:rPr>
              <w:t>OTHER ISSUES</w:t>
            </w:r>
          </w:p>
        </w:tc>
      </w:tr>
      <w:tr w:rsidR="00ED1DFC" w:rsidRPr="00190FC6" w:rsidTr="001C22E1">
        <w:trPr>
          <w:jc w:val="center"/>
        </w:trPr>
        <w:tc>
          <w:tcPr>
            <w:tcW w:w="480" w:type="dxa"/>
            <w:shd w:val="clear" w:color="auto" w:fill="auto"/>
          </w:tcPr>
          <w:p w:rsidR="00ED1DFC" w:rsidRPr="00A52B4A" w:rsidRDefault="00944724" w:rsidP="001C22E1">
            <w:pPr>
              <w:jc w:val="center"/>
              <w:rPr>
                <w:rFonts w:ascii="Arial" w:hAnsi="Arial" w:cs="Arial"/>
              </w:rPr>
            </w:pPr>
            <w:r>
              <w:rPr>
                <w:rFonts w:ascii="Arial" w:hAnsi="Arial" w:cs="Arial"/>
              </w:rPr>
              <w:t>3</w:t>
            </w:r>
            <w:r w:rsidR="00ED1DFC">
              <w:rPr>
                <w:rFonts w:ascii="Arial" w:hAnsi="Arial" w:cs="Arial"/>
              </w:rPr>
              <w:t xml:space="preserve"> </w:t>
            </w:r>
          </w:p>
        </w:tc>
        <w:tc>
          <w:tcPr>
            <w:tcW w:w="4880" w:type="dxa"/>
            <w:shd w:val="clear" w:color="auto" w:fill="auto"/>
          </w:tcPr>
          <w:p w:rsidR="00FD6721" w:rsidRDefault="00FD6721" w:rsidP="001C22E1">
            <w:pPr>
              <w:autoSpaceDE w:val="0"/>
              <w:autoSpaceDN w:val="0"/>
              <w:adjustRightInd w:val="0"/>
              <w:rPr>
                <w:rFonts w:ascii="Arial" w:hAnsi="Arial"/>
                <w:u w:val="single"/>
              </w:rPr>
            </w:pPr>
            <w:r w:rsidRPr="00C71F8F">
              <w:rPr>
                <w:rFonts w:ascii="Arial" w:hAnsi="Arial"/>
                <w:u w:val="single"/>
              </w:rPr>
              <w:t>Professional Services</w:t>
            </w:r>
          </w:p>
          <w:p w:rsidR="00C71F8F" w:rsidRDefault="00C71F8F" w:rsidP="001C22E1">
            <w:pPr>
              <w:autoSpaceDE w:val="0"/>
              <w:autoSpaceDN w:val="0"/>
              <w:adjustRightInd w:val="0"/>
              <w:rPr>
                <w:rFonts w:ascii="Arial" w:hAnsi="Arial"/>
                <w:u w:val="single"/>
              </w:rPr>
            </w:pPr>
          </w:p>
          <w:p w:rsidR="009F27A0" w:rsidRDefault="00C71F8F" w:rsidP="00C71F8F">
            <w:pPr>
              <w:autoSpaceDE w:val="0"/>
              <w:autoSpaceDN w:val="0"/>
              <w:adjustRightInd w:val="0"/>
              <w:rPr>
                <w:rFonts w:ascii="Arial" w:hAnsi="Arial"/>
              </w:rPr>
            </w:pPr>
            <w:r>
              <w:rPr>
                <w:rFonts w:ascii="Arial" w:hAnsi="Arial"/>
              </w:rPr>
              <w:t xml:space="preserve">The audit identified two instances, described below, where low value orders (LVOs) were used to procure professional services, although using LVOs for such purchases is prohibited by University policy. </w:t>
            </w:r>
          </w:p>
          <w:p w:rsidR="00C71F8F" w:rsidRDefault="00C71F8F" w:rsidP="00C71F8F">
            <w:pPr>
              <w:autoSpaceDE w:val="0"/>
              <w:autoSpaceDN w:val="0"/>
              <w:adjustRightInd w:val="0"/>
              <w:rPr>
                <w:rFonts w:ascii="Arial" w:hAnsi="Arial"/>
              </w:rPr>
            </w:pPr>
            <w:r>
              <w:rPr>
                <w:rFonts w:ascii="Arial" w:hAnsi="Arial"/>
              </w:rPr>
              <w:t xml:space="preserve"> </w:t>
            </w:r>
          </w:p>
          <w:p w:rsidR="00C71F8F" w:rsidRDefault="00C71F8F" w:rsidP="004F30E4">
            <w:pPr>
              <w:pStyle w:val="ListParagraph"/>
              <w:numPr>
                <w:ilvl w:val="0"/>
                <w:numId w:val="4"/>
              </w:numPr>
              <w:ind w:left="301" w:hanging="301"/>
              <w:rPr>
                <w:rFonts w:ascii="Arial" w:hAnsi="Arial"/>
                <w:sz w:val="20"/>
                <w:szCs w:val="20"/>
              </w:rPr>
            </w:pPr>
            <w:r>
              <w:rPr>
                <w:rFonts w:ascii="Arial" w:hAnsi="Arial"/>
                <w:sz w:val="20"/>
                <w:szCs w:val="20"/>
              </w:rPr>
              <w:t xml:space="preserve">An independent contractor provided translation services for a research study consent form.  The $200 expenditure was charged to gift fund #42731. </w:t>
            </w:r>
          </w:p>
          <w:p w:rsidR="00C71F8F" w:rsidRDefault="00C71F8F" w:rsidP="004F30E4">
            <w:pPr>
              <w:pStyle w:val="ListParagraph"/>
              <w:numPr>
                <w:ilvl w:val="0"/>
                <w:numId w:val="4"/>
              </w:numPr>
              <w:ind w:left="301" w:hanging="301"/>
              <w:rPr>
                <w:rFonts w:ascii="Arial" w:hAnsi="Arial"/>
                <w:sz w:val="20"/>
                <w:szCs w:val="20"/>
              </w:rPr>
            </w:pPr>
            <w:r>
              <w:rPr>
                <w:rFonts w:ascii="Arial" w:hAnsi="Arial"/>
                <w:sz w:val="20"/>
                <w:szCs w:val="20"/>
              </w:rPr>
              <w:t xml:space="preserve">A consultant provided respiratory care services for the </w:t>
            </w:r>
            <w:r w:rsidR="006A7E00">
              <w:rPr>
                <w:rFonts w:ascii="Arial" w:hAnsi="Arial"/>
                <w:sz w:val="20"/>
                <w:szCs w:val="20"/>
              </w:rPr>
              <w:t>Amyotrophic Lateral Sclerosis (</w:t>
            </w:r>
            <w:r>
              <w:rPr>
                <w:rFonts w:ascii="Arial" w:hAnsi="Arial"/>
                <w:sz w:val="20"/>
                <w:szCs w:val="20"/>
              </w:rPr>
              <w:t>ALS</w:t>
            </w:r>
            <w:r w:rsidR="006A7E00">
              <w:rPr>
                <w:rFonts w:ascii="Arial" w:hAnsi="Arial"/>
                <w:sz w:val="20"/>
                <w:szCs w:val="20"/>
              </w:rPr>
              <w:t>)</w:t>
            </w:r>
            <w:r>
              <w:rPr>
                <w:rFonts w:ascii="Arial" w:hAnsi="Arial"/>
                <w:sz w:val="20"/>
                <w:szCs w:val="20"/>
              </w:rPr>
              <w:t xml:space="preserve"> </w:t>
            </w:r>
            <w:r>
              <w:rPr>
                <w:rFonts w:ascii="Arial" w:hAnsi="Arial"/>
                <w:sz w:val="20"/>
                <w:szCs w:val="20"/>
              </w:rPr>
              <w:lastRenderedPageBreak/>
              <w:t>Clinic.</w:t>
            </w:r>
            <w:r w:rsidR="00B97B18">
              <w:rPr>
                <w:rFonts w:ascii="Arial" w:hAnsi="Arial"/>
                <w:sz w:val="20"/>
                <w:szCs w:val="20"/>
              </w:rPr>
              <w:t xml:space="preserve"> </w:t>
            </w:r>
            <w:r>
              <w:rPr>
                <w:rFonts w:ascii="Arial" w:hAnsi="Arial"/>
                <w:sz w:val="20"/>
                <w:szCs w:val="20"/>
              </w:rPr>
              <w:t xml:space="preserve"> This $928 expenditure was charged to gift fund #42871.</w:t>
            </w:r>
          </w:p>
          <w:p w:rsidR="00C71F8F" w:rsidRDefault="00C71F8F" w:rsidP="00C71F8F">
            <w:pPr>
              <w:autoSpaceDE w:val="0"/>
              <w:autoSpaceDN w:val="0"/>
              <w:adjustRightInd w:val="0"/>
              <w:rPr>
                <w:rFonts w:ascii="Arial" w:hAnsi="Arial"/>
              </w:rPr>
            </w:pPr>
          </w:p>
          <w:p w:rsidR="00C71F8F" w:rsidRPr="00083BA5" w:rsidRDefault="00C71F8F" w:rsidP="00C71F8F">
            <w:pPr>
              <w:rPr>
                <w:rFonts w:ascii="Arial" w:hAnsi="Arial" w:cs="Arial"/>
              </w:rPr>
            </w:pPr>
            <w:r w:rsidRPr="00083BA5">
              <w:rPr>
                <w:rFonts w:ascii="Arial" w:hAnsi="Arial" w:cs="Arial"/>
              </w:rPr>
              <w:t>Independent contractor, consultant</w:t>
            </w:r>
            <w:r>
              <w:rPr>
                <w:rFonts w:ascii="Arial" w:hAnsi="Arial" w:cs="Arial"/>
              </w:rPr>
              <w:t>,</w:t>
            </w:r>
            <w:r w:rsidRPr="00083BA5">
              <w:rPr>
                <w:rFonts w:ascii="Arial" w:hAnsi="Arial" w:cs="Arial"/>
              </w:rPr>
              <w:t xml:space="preserve"> or other purchasing agreements are usually required for professional services, regardless of the expected dollar amount or how frequently </w:t>
            </w:r>
            <w:r>
              <w:rPr>
                <w:rFonts w:ascii="Arial" w:hAnsi="Arial" w:cs="Arial"/>
              </w:rPr>
              <w:t>the services will be utilized. </w:t>
            </w:r>
          </w:p>
          <w:p w:rsidR="00C71F8F" w:rsidRDefault="00C71F8F" w:rsidP="00C71F8F">
            <w:pPr>
              <w:autoSpaceDE w:val="0"/>
              <w:autoSpaceDN w:val="0"/>
              <w:adjustRightInd w:val="0"/>
              <w:rPr>
                <w:rFonts w:ascii="Arial" w:hAnsi="Arial"/>
              </w:rPr>
            </w:pPr>
          </w:p>
          <w:p w:rsidR="00C71F8F" w:rsidRPr="00083BA5" w:rsidRDefault="00C71F8F" w:rsidP="00C71F8F">
            <w:pPr>
              <w:rPr>
                <w:rFonts w:ascii="Arial" w:hAnsi="Arial" w:cs="Arial"/>
              </w:rPr>
            </w:pPr>
            <w:r w:rsidRPr="00083BA5">
              <w:rPr>
                <w:rFonts w:ascii="Arial" w:hAnsi="Arial" w:cs="Arial"/>
              </w:rPr>
              <w:t>Without a formal agreement and applicabl</w:t>
            </w:r>
            <w:r>
              <w:rPr>
                <w:rFonts w:ascii="Arial" w:hAnsi="Arial" w:cs="Arial"/>
              </w:rPr>
              <w:t>e terms and conditions in place</w:t>
            </w:r>
            <w:r w:rsidRPr="00083BA5">
              <w:rPr>
                <w:rFonts w:ascii="Arial" w:hAnsi="Arial" w:cs="Arial"/>
              </w:rPr>
              <w:t xml:space="preserve"> (i.e., whether the vendor will hold the University harmless, if the vendor carries insurance,</w:t>
            </w:r>
            <w:r>
              <w:rPr>
                <w:rFonts w:ascii="Arial" w:hAnsi="Arial" w:cs="Arial"/>
              </w:rPr>
              <w:t xml:space="preserve"> </w:t>
            </w:r>
            <w:r w:rsidRPr="00083BA5">
              <w:rPr>
                <w:rFonts w:ascii="Arial" w:hAnsi="Arial" w:cs="Arial"/>
              </w:rPr>
              <w:t>if California law will govern any legal issues, if the contract can be terminated, etc.)</w:t>
            </w:r>
            <w:r>
              <w:rPr>
                <w:rFonts w:ascii="Arial" w:hAnsi="Arial" w:cs="Arial"/>
              </w:rPr>
              <w:t>,</w:t>
            </w:r>
            <w:r w:rsidRPr="00083BA5">
              <w:rPr>
                <w:rFonts w:ascii="Arial" w:hAnsi="Arial" w:cs="Arial"/>
              </w:rPr>
              <w:t xml:space="preserve"> the University is at risk if there is a problem. </w:t>
            </w:r>
            <w:r>
              <w:rPr>
                <w:rFonts w:ascii="Arial" w:hAnsi="Arial" w:cs="Arial"/>
              </w:rPr>
              <w:t xml:space="preserve"> T</w:t>
            </w:r>
            <w:r w:rsidRPr="00083BA5">
              <w:rPr>
                <w:rFonts w:ascii="Arial" w:hAnsi="Arial" w:cs="Arial"/>
              </w:rPr>
              <w:t xml:space="preserve">here is also an increased risk of violating the University of California Fair Wage/Fair Work (FW/FW) Plan, which requires that the FW/FW wage be paid not only to UC employees working at least 20 hours per week, but also to employees of </w:t>
            </w:r>
            <w:r>
              <w:rPr>
                <w:rFonts w:ascii="Arial" w:hAnsi="Arial" w:cs="Arial"/>
              </w:rPr>
              <w:t>vendor</w:t>
            </w:r>
            <w:r w:rsidRPr="00083BA5">
              <w:rPr>
                <w:rFonts w:ascii="Arial" w:hAnsi="Arial" w:cs="Arial"/>
              </w:rPr>
              <w:t>s who are providing services to UC.</w:t>
            </w:r>
            <w:r>
              <w:rPr>
                <w:rFonts w:ascii="Arial" w:hAnsi="Arial" w:cs="Arial"/>
              </w:rPr>
              <w:t xml:space="preserve">  </w:t>
            </w:r>
          </w:p>
          <w:p w:rsidR="00C71F8F" w:rsidRDefault="00C71F8F" w:rsidP="00C71F8F">
            <w:pPr>
              <w:autoSpaceDE w:val="0"/>
              <w:autoSpaceDN w:val="0"/>
              <w:adjustRightInd w:val="0"/>
              <w:rPr>
                <w:rFonts w:ascii="Arial" w:hAnsi="Arial"/>
              </w:rPr>
            </w:pPr>
          </w:p>
          <w:p w:rsidR="00C71F8F" w:rsidRPr="00177428" w:rsidRDefault="00C71F8F" w:rsidP="00C71F8F">
            <w:pPr>
              <w:rPr>
                <w:rFonts w:ascii="Arial" w:hAnsi="Arial" w:cs="Arial"/>
                <w:sz w:val="16"/>
                <w:szCs w:val="16"/>
              </w:rPr>
            </w:pPr>
            <w:r w:rsidRPr="00177428">
              <w:rPr>
                <w:rFonts w:ascii="Arial" w:hAnsi="Arial" w:cs="Arial"/>
                <w:sz w:val="16"/>
                <w:szCs w:val="16"/>
              </w:rPr>
              <w:t>__________</w:t>
            </w:r>
          </w:p>
          <w:p w:rsidR="00C71F8F" w:rsidRPr="00177428" w:rsidRDefault="00C71F8F" w:rsidP="00C71F8F">
            <w:pPr>
              <w:rPr>
                <w:rFonts w:ascii="Arial" w:hAnsi="Arial" w:cs="Arial"/>
                <w:sz w:val="16"/>
                <w:szCs w:val="16"/>
              </w:rPr>
            </w:pPr>
            <w:r w:rsidRPr="00177428">
              <w:rPr>
                <w:rFonts w:ascii="Arial" w:hAnsi="Arial" w:cs="Arial"/>
                <w:sz w:val="16"/>
                <w:szCs w:val="16"/>
              </w:rPr>
              <w:t>Criteria:</w:t>
            </w:r>
          </w:p>
          <w:p w:rsidR="00C71F8F" w:rsidRPr="00177428" w:rsidRDefault="00C71F8F" w:rsidP="00C71F8F">
            <w:pPr>
              <w:rPr>
                <w:rFonts w:ascii="Arial" w:hAnsi="Arial" w:cs="Arial"/>
                <w:sz w:val="16"/>
                <w:szCs w:val="16"/>
              </w:rPr>
            </w:pPr>
            <w:r w:rsidRPr="00177428">
              <w:rPr>
                <w:rFonts w:ascii="Arial" w:hAnsi="Arial" w:cs="Arial"/>
                <w:sz w:val="16"/>
                <w:szCs w:val="16"/>
              </w:rPr>
              <w:t> </w:t>
            </w:r>
          </w:p>
          <w:p w:rsidR="00C71F8F" w:rsidRPr="00177428" w:rsidRDefault="00993116" w:rsidP="00C71F8F">
            <w:pPr>
              <w:rPr>
                <w:rFonts w:ascii="Arial" w:hAnsi="Arial" w:cs="Arial"/>
                <w:sz w:val="16"/>
                <w:szCs w:val="16"/>
              </w:rPr>
            </w:pPr>
            <w:r>
              <w:rPr>
                <w:rFonts w:ascii="Arial" w:hAnsi="Arial" w:cs="Arial"/>
                <w:sz w:val="16"/>
                <w:szCs w:val="16"/>
              </w:rPr>
              <w:t>UCLA Policy 740 &amp; 741, "Low-</w:t>
            </w:r>
            <w:r w:rsidR="00C71F8F" w:rsidRPr="00177428">
              <w:rPr>
                <w:rFonts w:ascii="Arial" w:hAnsi="Arial" w:cs="Arial"/>
                <w:sz w:val="16"/>
                <w:szCs w:val="16"/>
              </w:rPr>
              <w:t>Value Purchases" - Attachment A: An LVO should not be used for professional services. A contract is required.</w:t>
            </w:r>
          </w:p>
          <w:p w:rsidR="00C71F8F" w:rsidRPr="00C71F8F" w:rsidRDefault="00C71F8F" w:rsidP="001C22E1">
            <w:pPr>
              <w:autoSpaceDE w:val="0"/>
              <w:autoSpaceDN w:val="0"/>
              <w:adjustRightInd w:val="0"/>
              <w:rPr>
                <w:rFonts w:ascii="Arial" w:hAnsi="Arial"/>
                <w:u w:val="single"/>
              </w:rPr>
            </w:pPr>
          </w:p>
        </w:tc>
        <w:tc>
          <w:tcPr>
            <w:tcW w:w="4880" w:type="dxa"/>
            <w:shd w:val="clear" w:color="auto" w:fill="auto"/>
          </w:tcPr>
          <w:p w:rsidR="00C71F8F" w:rsidRDefault="00C71F8F" w:rsidP="00C71F8F">
            <w:pPr>
              <w:rPr>
                <w:rFonts w:ascii="Arial" w:hAnsi="Arial" w:cs="Arial"/>
              </w:rPr>
            </w:pPr>
          </w:p>
          <w:p w:rsidR="00C71F8F" w:rsidRDefault="00C71F8F" w:rsidP="00C71F8F">
            <w:pPr>
              <w:rPr>
                <w:rFonts w:ascii="Arial" w:hAnsi="Arial" w:cs="Arial"/>
              </w:rPr>
            </w:pPr>
          </w:p>
          <w:p w:rsidR="00C71F8F" w:rsidRPr="009F796F" w:rsidRDefault="00C71F8F" w:rsidP="00C71F8F">
            <w:pPr>
              <w:rPr>
                <w:rFonts w:ascii="Verdana" w:hAnsi="Verdana"/>
              </w:rPr>
            </w:pPr>
            <w:r>
              <w:rPr>
                <w:rFonts w:ascii="Arial" w:hAnsi="Arial" w:cs="Arial"/>
              </w:rPr>
              <w:t>The department</w:t>
            </w:r>
            <w:r w:rsidRPr="00177428">
              <w:rPr>
                <w:rFonts w:ascii="Arial" w:hAnsi="Arial" w:cs="Arial"/>
              </w:rPr>
              <w:t xml:space="preserve"> should remind staff and faculty that, generally, LVOs cannot be used for professional services and that these services should be processed on a Requisition for Purchase Order.  This procedure ensures that the vendors are appropriately vetted and that the proper terms and conditions are applied.  </w:t>
            </w:r>
          </w:p>
          <w:p w:rsidR="00C71F8F" w:rsidRPr="00F132A5" w:rsidRDefault="00C71F8F" w:rsidP="001C22E1">
            <w:pPr>
              <w:autoSpaceDE w:val="0"/>
              <w:autoSpaceDN w:val="0"/>
              <w:adjustRightInd w:val="0"/>
              <w:rPr>
                <w:rFonts w:ascii="Arial" w:hAnsi="Arial"/>
              </w:rPr>
            </w:pPr>
          </w:p>
        </w:tc>
        <w:tc>
          <w:tcPr>
            <w:tcW w:w="4880" w:type="dxa"/>
            <w:shd w:val="clear" w:color="auto" w:fill="auto"/>
          </w:tcPr>
          <w:p w:rsidR="00ED1DFC" w:rsidRDefault="00ED1DFC" w:rsidP="001C22E1">
            <w:pPr>
              <w:rPr>
                <w:rFonts w:ascii="Arial" w:hAnsi="Arial" w:cs="Arial"/>
              </w:rPr>
            </w:pPr>
          </w:p>
          <w:p w:rsidR="00ED1DFC" w:rsidRDefault="00ED1DFC" w:rsidP="001C22E1">
            <w:pPr>
              <w:rPr>
                <w:rFonts w:ascii="Arial" w:hAnsi="Arial" w:cs="Arial"/>
              </w:rPr>
            </w:pPr>
          </w:p>
          <w:p w:rsidR="0065736B" w:rsidRDefault="00614DA9" w:rsidP="001C22E1">
            <w:pPr>
              <w:rPr>
                <w:rFonts w:ascii="Arial" w:hAnsi="Arial" w:cs="Arial"/>
              </w:rPr>
            </w:pPr>
            <w:r>
              <w:rPr>
                <w:rFonts w:ascii="Arial" w:hAnsi="Arial" w:cs="Arial"/>
              </w:rPr>
              <w:t>We have done so and will continue to make new staff and faculty aware of the policy on low value purchases.</w:t>
            </w:r>
          </w:p>
          <w:p w:rsidR="00ED1DFC" w:rsidRPr="00190FC6" w:rsidRDefault="00ED1DFC" w:rsidP="001C22E1">
            <w:pPr>
              <w:rPr>
                <w:rFonts w:ascii="Arial" w:hAnsi="Arial" w:cs="Arial"/>
              </w:rPr>
            </w:pPr>
          </w:p>
        </w:tc>
      </w:tr>
      <w:tr w:rsidR="00ED1DFC" w:rsidRPr="00190FC6" w:rsidTr="001C22E1">
        <w:trPr>
          <w:jc w:val="center"/>
        </w:trPr>
        <w:tc>
          <w:tcPr>
            <w:tcW w:w="480" w:type="dxa"/>
            <w:shd w:val="clear" w:color="auto" w:fill="auto"/>
          </w:tcPr>
          <w:p w:rsidR="00ED1DFC" w:rsidRDefault="00795703" w:rsidP="001C22E1">
            <w:pPr>
              <w:jc w:val="center"/>
              <w:rPr>
                <w:rFonts w:ascii="Arial" w:hAnsi="Arial" w:cs="Arial"/>
              </w:rPr>
            </w:pPr>
            <w:r>
              <w:rPr>
                <w:rFonts w:ascii="Arial" w:hAnsi="Arial" w:cs="Arial"/>
              </w:rPr>
              <w:t>4</w:t>
            </w:r>
          </w:p>
          <w:p w:rsidR="00ED1DFC" w:rsidRDefault="00ED1DFC" w:rsidP="001C22E1">
            <w:pPr>
              <w:jc w:val="center"/>
              <w:rPr>
                <w:rFonts w:ascii="Arial" w:hAnsi="Arial" w:cs="Arial"/>
              </w:rPr>
            </w:pPr>
          </w:p>
          <w:p w:rsidR="00ED1DFC" w:rsidRDefault="00ED1DFC" w:rsidP="001C22E1">
            <w:pPr>
              <w:jc w:val="center"/>
              <w:rPr>
                <w:rFonts w:ascii="Arial" w:hAnsi="Arial" w:cs="Arial"/>
              </w:rPr>
            </w:pPr>
          </w:p>
          <w:p w:rsidR="00ED1DFC" w:rsidRDefault="00ED1DFC" w:rsidP="001C22E1">
            <w:pPr>
              <w:jc w:val="center"/>
              <w:rPr>
                <w:rFonts w:ascii="Arial" w:hAnsi="Arial" w:cs="Arial"/>
              </w:rPr>
            </w:pPr>
          </w:p>
          <w:p w:rsidR="00ED1DFC" w:rsidRDefault="00ED1DFC" w:rsidP="001C22E1">
            <w:pPr>
              <w:jc w:val="center"/>
              <w:rPr>
                <w:rFonts w:ascii="Arial" w:hAnsi="Arial" w:cs="Arial"/>
              </w:rPr>
            </w:pPr>
          </w:p>
          <w:p w:rsidR="00ED1DFC" w:rsidRDefault="00ED1DFC" w:rsidP="001C22E1">
            <w:pPr>
              <w:jc w:val="center"/>
              <w:rPr>
                <w:rFonts w:ascii="Arial" w:hAnsi="Arial" w:cs="Arial"/>
              </w:rPr>
            </w:pPr>
          </w:p>
          <w:p w:rsidR="00ED1DFC" w:rsidRDefault="00ED1DFC" w:rsidP="001C22E1">
            <w:pPr>
              <w:jc w:val="center"/>
              <w:rPr>
                <w:rFonts w:ascii="Arial" w:hAnsi="Arial" w:cs="Arial"/>
              </w:rPr>
            </w:pPr>
          </w:p>
          <w:p w:rsidR="00ED1DFC" w:rsidRDefault="00ED1DFC" w:rsidP="001C22E1">
            <w:pPr>
              <w:jc w:val="center"/>
              <w:rPr>
                <w:rFonts w:ascii="Arial" w:hAnsi="Arial" w:cs="Arial"/>
              </w:rPr>
            </w:pPr>
          </w:p>
        </w:tc>
        <w:tc>
          <w:tcPr>
            <w:tcW w:w="4880" w:type="dxa"/>
            <w:shd w:val="clear" w:color="auto" w:fill="auto"/>
          </w:tcPr>
          <w:p w:rsidR="00FD6721" w:rsidRPr="00380D59" w:rsidRDefault="00583627" w:rsidP="001C22E1">
            <w:pPr>
              <w:autoSpaceDE w:val="0"/>
              <w:autoSpaceDN w:val="0"/>
              <w:adjustRightInd w:val="0"/>
              <w:rPr>
                <w:rFonts w:ascii="Arial" w:hAnsi="Arial"/>
                <w:u w:val="single"/>
              </w:rPr>
            </w:pPr>
            <w:r>
              <w:rPr>
                <w:rFonts w:ascii="Arial" w:hAnsi="Arial"/>
                <w:u w:val="single"/>
              </w:rPr>
              <w:t>Split Orders</w:t>
            </w:r>
          </w:p>
          <w:p w:rsidR="00D8208A" w:rsidRDefault="00D8208A" w:rsidP="001C22E1">
            <w:pPr>
              <w:autoSpaceDE w:val="0"/>
              <w:autoSpaceDN w:val="0"/>
              <w:adjustRightInd w:val="0"/>
              <w:rPr>
                <w:rFonts w:ascii="Arial" w:hAnsi="Arial"/>
              </w:rPr>
            </w:pPr>
          </w:p>
          <w:p w:rsidR="00B54972" w:rsidRDefault="00D8208A" w:rsidP="00583627">
            <w:pPr>
              <w:autoSpaceDE w:val="0"/>
              <w:autoSpaceDN w:val="0"/>
              <w:adjustRightInd w:val="0"/>
              <w:rPr>
                <w:rFonts w:ascii="Arial" w:hAnsi="Arial" w:cs="Arial"/>
              </w:rPr>
            </w:pPr>
            <w:r>
              <w:rPr>
                <w:rFonts w:ascii="Arial" w:hAnsi="Arial"/>
              </w:rPr>
              <w:t xml:space="preserve">The audit identified </w:t>
            </w:r>
            <w:r w:rsidR="00382F61" w:rsidRPr="005418FA">
              <w:rPr>
                <w:rFonts w:ascii="Arial" w:hAnsi="Arial" w:cs="Arial"/>
              </w:rPr>
              <w:t xml:space="preserve">two payments to the same vendor </w:t>
            </w:r>
            <w:r w:rsidR="00380D59">
              <w:rPr>
                <w:rFonts w:ascii="Arial" w:hAnsi="Arial" w:cs="Arial"/>
              </w:rPr>
              <w:t xml:space="preserve">that </w:t>
            </w:r>
            <w:r w:rsidR="00382F61" w:rsidRPr="005418FA">
              <w:rPr>
                <w:rFonts w:ascii="Arial" w:hAnsi="Arial" w:cs="Arial"/>
              </w:rPr>
              <w:t>were processed on the same day, with the total of the two payments exceeding the LVO dollar limit of $5,000.  The two invoices</w:t>
            </w:r>
            <w:r w:rsidR="00215274">
              <w:rPr>
                <w:rFonts w:ascii="Arial" w:hAnsi="Arial" w:cs="Arial"/>
              </w:rPr>
              <w:t xml:space="preserve"> (</w:t>
            </w:r>
            <w:r w:rsidR="00594438">
              <w:rPr>
                <w:rFonts w:ascii="Arial" w:hAnsi="Arial" w:cs="Arial"/>
              </w:rPr>
              <w:t xml:space="preserve">for </w:t>
            </w:r>
            <w:r w:rsidR="00215274">
              <w:rPr>
                <w:rFonts w:ascii="Arial" w:hAnsi="Arial" w:cs="Arial"/>
              </w:rPr>
              <w:t>$4,728 and $719)</w:t>
            </w:r>
            <w:r w:rsidR="00215274" w:rsidRPr="005418FA">
              <w:rPr>
                <w:rFonts w:ascii="Arial" w:hAnsi="Arial" w:cs="Arial"/>
              </w:rPr>
              <w:t xml:space="preserve"> total</w:t>
            </w:r>
            <w:r w:rsidR="00215274">
              <w:rPr>
                <w:rFonts w:ascii="Arial" w:hAnsi="Arial" w:cs="Arial"/>
              </w:rPr>
              <w:t>ed</w:t>
            </w:r>
            <w:r w:rsidR="00215274" w:rsidRPr="005418FA">
              <w:rPr>
                <w:rFonts w:ascii="Arial" w:hAnsi="Arial" w:cs="Arial"/>
              </w:rPr>
              <w:t xml:space="preserve"> $</w:t>
            </w:r>
            <w:r w:rsidR="00215274">
              <w:rPr>
                <w:rFonts w:ascii="Arial" w:hAnsi="Arial" w:cs="Arial"/>
              </w:rPr>
              <w:t>5,447</w:t>
            </w:r>
            <w:r w:rsidR="00E22EDC">
              <w:rPr>
                <w:rFonts w:ascii="Arial" w:hAnsi="Arial" w:cs="Arial"/>
              </w:rPr>
              <w:t xml:space="preserve"> and were charged to gift fund #52703</w:t>
            </w:r>
            <w:r w:rsidR="00215274">
              <w:rPr>
                <w:rFonts w:ascii="Arial" w:hAnsi="Arial" w:cs="Arial"/>
              </w:rPr>
              <w:t>.  This circumstance gives</w:t>
            </w:r>
            <w:r w:rsidR="00382F61" w:rsidRPr="005418FA">
              <w:rPr>
                <w:rFonts w:ascii="Arial" w:hAnsi="Arial" w:cs="Arial"/>
              </w:rPr>
              <w:t xml:space="preserve"> </w:t>
            </w:r>
            <w:r w:rsidR="00215274">
              <w:rPr>
                <w:rFonts w:ascii="Arial" w:hAnsi="Arial" w:cs="Arial"/>
              </w:rPr>
              <w:t xml:space="preserve">the appearance </w:t>
            </w:r>
            <w:r w:rsidR="00382F61" w:rsidRPr="005418FA">
              <w:rPr>
                <w:rFonts w:ascii="Arial" w:hAnsi="Arial" w:cs="Arial"/>
              </w:rPr>
              <w:t xml:space="preserve">that the department </w:t>
            </w:r>
            <w:r w:rsidR="00215274">
              <w:rPr>
                <w:rFonts w:ascii="Arial" w:hAnsi="Arial" w:cs="Arial"/>
              </w:rPr>
              <w:t>asked the vendor to s</w:t>
            </w:r>
            <w:r w:rsidR="00382F61" w:rsidRPr="005418FA">
              <w:rPr>
                <w:rFonts w:ascii="Arial" w:hAnsi="Arial" w:cs="Arial"/>
              </w:rPr>
              <w:t>plit the invoice to process the purchase</w:t>
            </w:r>
            <w:r w:rsidR="00215274">
              <w:rPr>
                <w:rFonts w:ascii="Arial" w:hAnsi="Arial" w:cs="Arial"/>
              </w:rPr>
              <w:t xml:space="preserve">s as </w:t>
            </w:r>
            <w:r w:rsidR="00382F61" w:rsidRPr="005418FA">
              <w:rPr>
                <w:rFonts w:ascii="Arial" w:hAnsi="Arial" w:cs="Arial"/>
              </w:rPr>
              <w:t>LVO</w:t>
            </w:r>
            <w:r w:rsidR="00215274">
              <w:rPr>
                <w:rFonts w:ascii="Arial" w:hAnsi="Arial" w:cs="Arial"/>
              </w:rPr>
              <w:t>s</w:t>
            </w:r>
            <w:r w:rsidR="00382F61" w:rsidRPr="005418FA">
              <w:rPr>
                <w:rFonts w:ascii="Arial" w:hAnsi="Arial" w:cs="Arial"/>
              </w:rPr>
              <w:t>.</w:t>
            </w:r>
            <w:r w:rsidR="00382F61">
              <w:rPr>
                <w:rFonts w:ascii="Arial" w:hAnsi="Arial" w:cs="Arial"/>
              </w:rPr>
              <w:t xml:space="preserve">  </w:t>
            </w:r>
          </w:p>
          <w:p w:rsidR="00B54972" w:rsidRDefault="00B54972" w:rsidP="00B54972">
            <w:pPr>
              <w:autoSpaceDE w:val="0"/>
              <w:autoSpaceDN w:val="0"/>
              <w:adjustRightInd w:val="0"/>
              <w:rPr>
                <w:rFonts w:ascii="Arial" w:hAnsi="Arial"/>
              </w:rPr>
            </w:pPr>
          </w:p>
          <w:p w:rsidR="00B54972" w:rsidRPr="00177428" w:rsidRDefault="00B54972" w:rsidP="004F30E4">
            <w:pPr>
              <w:keepNext/>
              <w:widowControl w:val="0"/>
              <w:rPr>
                <w:rFonts w:ascii="Arial" w:hAnsi="Arial" w:cs="Arial"/>
                <w:sz w:val="16"/>
                <w:szCs w:val="16"/>
              </w:rPr>
            </w:pPr>
            <w:r w:rsidRPr="00177428">
              <w:rPr>
                <w:rFonts w:ascii="Arial" w:hAnsi="Arial" w:cs="Arial"/>
                <w:sz w:val="16"/>
                <w:szCs w:val="16"/>
              </w:rPr>
              <w:lastRenderedPageBreak/>
              <w:t>__________</w:t>
            </w:r>
            <w:r w:rsidR="004F30E4">
              <w:rPr>
                <w:rFonts w:ascii="Arial" w:hAnsi="Arial" w:cs="Arial"/>
                <w:sz w:val="16"/>
                <w:szCs w:val="16"/>
              </w:rPr>
              <w:t>_</w:t>
            </w:r>
          </w:p>
          <w:p w:rsidR="00B54972" w:rsidRPr="00177428" w:rsidRDefault="00B54972" w:rsidP="004F30E4">
            <w:pPr>
              <w:keepNext/>
              <w:widowControl w:val="0"/>
              <w:rPr>
                <w:rFonts w:ascii="Arial" w:hAnsi="Arial" w:cs="Arial"/>
                <w:sz w:val="16"/>
                <w:szCs w:val="16"/>
              </w:rPr>
            </w:pPr>
            <w:r w:rsidRPr="00177428">
              <w:rPr>
                <w:rFonts w:ascii="Arial" w:hAnsi="Arial" w:cs="Arial"/>
                <w:sz w:val="16"/>
                <w:szCs w:val="16"/>
              </w:rPr>
              <w:t>Criteria:</w:t>
            </w:r>
          </w:p>
          <w:p w:rsidR="00B54972" w:rsidRPr="00177428" w:rsidRDefault="00B54972" w:rsidP="004F30E4">
            <w:pPr>
              <w:keepNext/>
              <w:widowControl w:val="0"/>
              <w:rPr>
                <w:rFonts w:ascii="Arial" w:hAnsi="Arial" w:cs="Arial"/>
                <w:sz w:val="16"/>
                <w:szCs w:val="16"/>
              </w:rPr>
            </w:pPr>
            <w:r w:rsidRPr="00177428">
              <w:rPr>
                <w:rFonts w:ascii="Arial" w:hAnsi="Arial" w:cs="Arial"/>
                <w:sz w:val="16"/>
                <w:szCs w:val="16"/>
              </w:rPr>
              <w:t>  </w:t>
            </w:r>
          </w:p>
          <w:p w:rsidR="00B54972" w:rsidRDefault="00B54972" w:rsidP="004F30E4">
            <w:pPr>
              <w:keepNext/>
              <w:widowControl w:val="0"/>
              <w:autoSpaceDE w:val="0"/>
              <w:autoSpaceDN w:val="0"/>
              <w:adjustRightInd w:val="0"/>
              <w:rPr>
                <w:rFonts w:ascii="Arial" w:hAnsi="Arial" w:cs="Arial"/>
                <w:sz w:val="16"/>
                <w:szCs w:val="16"/>
              </w:rPr>
            </w:pPr>
            <w:r>
              <w:rPr>
                <w:rFonts w:ascii="Arial" w:hAnsi="Arial" w:cs="Arial"/>
                <w:sz w:val="16"/>
                <w:szCs w:val="16"/>
              </w:rPr>
              <w:t xml:space="preserve">UCLA Policy </w:t>
            </w:r>
            <w:r w:rsidR="00993116">
              <w:rPr>
                <w:rFonts w:ascii="Arial" w:hAnsi="Arial" w:cs="Arial"/>
                <w:sz w:val="16"/>
                <w:szCs w:val="16"/>
              </w:rPr>
              <w:t>741, "Low-</w:t>
            </w:r>
            <w:r w:rsidRPr="00177428">
              <w:rPr>
                <w:rFonts w:ascii="Arial" w:hAnsi="Arial" w:cs="Arial"/>
                <w:sz w:val="16"/>
                <w:szCs w:val="16"/>
              </w:rPr>
              <w:t>Value Purchases</w:t>
            </w:r>
            <w:r w:rsidR="00993116">
              <w:rPr>
                <w:rFonts w:ascii="Arial" w:hAnsi="Arial" w:cs="Arial"/>
                <w:sz w:val="16"/>
                <w:szCs w:val="16"/>
              </w:rPr>
              <w:t>,</w:t>
            </w:r>
            <w:r w:rsidRPr="00177428">
              <w:rPr>
                <w:rFonts w:ascii="Arial" w:hAnsi="Arial" w:cs="Arial"/>
                <w:sz w:val="16"/>
                <w:szCs w:val="16"/>
              </w:rPr>
              <w:t>"</w:t>
            </w:r>
            <w:r w:rsidR="00993116">
              <w:rPr>
                <w:rFonts w:ascii="Arial" w:hAnsi="Arial" w:cs="Arial"/>
                <w:sz w:val="16"/>
                <w:szCs w:val="16"/>
              </w:rPr>
              <w:t xml:space="preserve"> Part IV.A.4:  </w:t>
            </w:r>
            <w:r w:rsidR="00993116" w:rsidRPr="00993116">
              <w:rPr>
                <w:rFonts w:ascii="Arial" w:hAnsi="Arial" w:cs="Arial"/>
                <w:sz w:val="16"/>
                <w:szCs w:val="16"/>
              </w:rPr>
              <w:t>LVO Authorization shall not exceed $5,000. Exceptions may be considered on a case-by-case basis and must be issued in writing by the Campus Purchasing Director.</w:t>
            </w:r>
          </w:p>
          <w:p w:rsidR="00993116" w:rsidRDefault="00993116" w:rsidP="00B54972">
            <w:pPr>
              <w:autoSpaceDE w:val="0"/>
              <w:autoSpaceDN w:val="0"/>
              <w:adjustRightInd w:val="0"/>
              <w:rPr>
                <w:rFonts w:ascii="Arial" w:hAnsi="Arial" w:cs="Arial"/>
                <w:sz w:val="16"/>
                <w:szCs w:val="16"/>
              </w:rPr>
            </w:pPr>
          </w:p>
          <w:p w:rsidR="00993116" w:rsidRDefault="00993116" w:rsidP="00B54972">
            <w:pPr>
              <w:autoSpaceDE w:val="0"/>
              <w:autoSpaceDN w:val="0"/>
              <w:adjustRightInd w:val="0"/>
              <w:rPr>
                <w:rFonts w:ascii="Arial" w:hAnsi="Arial" w:cs="Arial"/>
              </w:rPr>
            </w:pPr>
            <w:r>
              <w:rPr>
                <w:rFonts w:ascii="Arial" w:hAnsi="Arial" w:cs="Arial"/>
                <w:sz w:val="16"/>
                <w:szCs w:val="16"/>
              </w:rPr>
              <w:t xml:space="preserve">Part IV.B.2:   </w:t>
            </w:r>
            <w:r w:rsidRPr="00993116">
              <w:rPr>
                <w:rFonts w:ascii="Arial" w:hAnsi="Arial" w:cs="Arial"/>
                <w:sz w:val="16"/>
                <w:szCs w:val="16"/>
              </w:rPr>
              <w:t>The issuance of multiple LVOs on the same day or repeat orders on consecutive days to a vendor for the same or related material, or the issuance of multiple invoices by a vendor in order to circumvent policy, are prohibited and shall be cause for the withdrawal of LVO authorization.</w:t>
            </w:r>
            <w:r>
              <w:rPr>
                <w:rFonts w:ascii="Arial" w:hAnsi="Arial" w:cs="Arial"/>
                <w:sz w:val="16"/>
                <w:szCs w:val="16"/>
              </w:rPr>
              <w:t xml:space="preserve"> </w:t>
            </w:r>
          </w:p>
          <w:p w:rsidR="00993116" w:rsidRDefault="00993116" w:rsidP="00583627">
            <w:pPr>
              <w:autoSpaceDE w:val="0"/>
              <w:autoSpaceDN w:val="0"/>
              <w:adjustRightInd w:val="0"/>
              <w:rPr>
                <w:rFonts w:ascii="Arial" w:hAnsi="Arial"/>
              </w:rPr>
            </w:pPr>
          </w:p>
        </w:tc>
        <w:tc>
          <w:tcPr>
            <w:tcW w:w="4880" w:type="dxa"/>
            <w:shd w:val="clear" w:color="auto" w:fill="auto"/>
          </w:tcPr>
          <w:p w:rsidR="00382F61" w:rsidRDefault="00382F61" w:rsidP="001C22E1">
            <w:pPr>
              <w:autoSpaceDE w:val="0"/>
              <w:autoSpaceDN w:val="0"/>
              <w:adjustRightInd w:val="0"/>
              <w:rPr>
                <w:rFonts w:ascii="Arial" w:hAnsi="Arial"/>
              </w:rPr>
            </w:pPr>
          </w:p>
          <w:p w:rsidR="00382F61" w:rsidRDefault="00382F61" w:rsidP="001C22E1">
            <w:pPr>
              <w:autoSpaceDE w:val="0"/>
              <w:autoSpaceDN w:val="0"/>
              <w:adjustRightInd w:val="0"/>
              <w:rPr>
                <w:rFonts w:ascii="Arial" w:hAnsi="Arial"/>
              </w:rPr>
            </w:pPr>
          </w:p>
          <w:p w:rsidR="00ED1DFC" w:rsidRPr="00177A80" w:rsidRDefault="008A46EB" w:rsidP="001C22E1">
            <w:pPr>
              <w:autoSpaceDE w:val="0"/>
              <w:autoSpaceDN w:val="0"/>
              <w:adjustRightInd w:val="0"/>
              <w:rPr>
                <w:rFonts w:ascii="Arial" w:hAnsi="Arial"/>
              </w:rPr>
            </w:pPr>
            <w:r>
              <w:rPr>
                <w:rFonts w:ascii="Arial" w:hAnsi="Arial"/>
              </w:rPr>
              <w:t>The department should remind staff</w:t>
            </w:r>
            <w:r w:rsidR="00382F61" w:rsidRPr="0062242B">
              <w:rPr>
                <w:rFonts w:ascii="Arial" w:hAnsi="Arial"/>
              </w:rPr>
              <w:t xml:space="preserve"> that LVOs should not exceed $5,000 per vendor, per day, per account</w:t>
            </w:r>
            <w:r>
              <w:rPr>
                <w:rFonts w:ascii="Arial" w:hAnsi="Arial"/>
              </w:rPr>
              <w:t>.</w:t>
            </w:r>
            <w:r w:rsidR="00C54CE9">
              <w:rPr>
                <w:rFonts w:ascii="Arial" w:hAnsi="Arial"/>
              </w:rPr>
              <w:t xml:space="preserve">  Lack of adherence to the policy jeopardizes the department’s authority to use LVOs.</w:t>
            </w:r>
          </w:p>
        </w:tc>
        <w:tc>
          <w:tcPr>
            <w:tcW w:w="4880" w:type="dxa"/>
            <w:shd w:val="clear" w:color="auto" w:fill="auto"/>
          </w:tcPr>
          <w:p w:rsidR="00ED1DFC" w:rsidRDefault="00ED1DFC" w:rsidP="001C22E1">
            <w:pPr>
              <w:rPr>
                <w:rFonts w:ascii="Arial" w:hAnsi="Arial" w:cs="Arial"/>
              </w:rPr>
            </w:pPr>
          </w:p>
          <w:p w:rsidR="0065736B" w:rsidRDefault="0065736B" w:rsidP="001C22E1">
            <w:pPr>
              <w:rPr>
                <w:rFonts w:ascii="Arial" w:hAnsi="Arial" w:cs="Arial"/>
              </w:rPr>
            </w:pPr>
          </w:p>
          <w:p w:rsidR="0065736B" w:rsidRDefault="00614DA9" w:rsidP="001C22E1">
            <w:pPr>
              <w:rPr>
                <w:rFonts w:ascii="Arial" w:hAnsi="Arial" w:cs="Arial"/>
              </w:rPr>
            </w:pPr>
            <w:r>
              <w:rPr>
                <w:rFonts w:ascii="Arial" w:hAnsi="Arial" w:cs="Arial"/>
              </w:rPr>
              <w:t>We have done so and will continue to make new staff and faculty aware of the policy on low value purchases.</w:t>
            </w:r>
          </w:p>
        </w:tc>
      </w:tr>
      <w:tr w:rsidR="00215274" w:rsidRPr="00190FC6" w:rsidTr="001C22E1">
        <w:trPr>
          <w:jc w:val="center"/>
        </w:trPr>
        <w:tc>
          <w:tcPr>
            <w:tcW w:w="480" w:type="dxa"/>
            <w:shd w:val="clear" w:color="auto" w:fill="auto"/>
          </w:tcPr>
          <w:p w:rsidR="00215274" w:rsidRDefault="00215274" w:rsidP="001C22E1">
            <w:pPr>
              <w:jc w:val="center"/>
              <w:rPr>
                <w:rFonts w:ascii="Arial" w:hAnsi="Arial" w:cs="Arial"/>
              </w:rPr>
            </w:pPr>
            <w:r>
              <w:rPr>
                <w:rFonts w:ascii="Arial" w:hAnsi="Arial" w:cs="Arial"/>
              </w:rPr>
              <w:t>5</w:t>
            </w:r>
          </w:p>
        </w:tc>
        <w:tc>
          <w:tcPr>
            <w:tcW w:w="4880" w:type="dxa"/>
            <w:shd w:val="clear" w:color="auto" w:fill="auto"/>
          </w:tcPr>
          <w:p w:rsidR="00215274" w:rsidRPr="00215274" w:rsidRDefault="00215274" w:rsidP="001C22E1">
            <w:pPr>
              <w:autoSpaceDE w:val="0"/>
              <w:autoSpaceDN w:val="0"/>
              <w:adjustRightInd w:val="0"/>
              <w:rPr>
                <w:rFonts w:ascii="Arial" w:hAnsi="Arial"/>
                <w:u w:val="single"/>
              </w:rPr>
            </w:pPr>
            <w:r w:rsidRPr="00215274">
              <w:rPr>
                <w:rFonts w:ascii="Arial" w:hAnsi="Arial"/>
                <w:u w:val="single"/>
              </w:rPr>
              <w:t>Transfers to Other Departments</w:t>
            </w:r>
          </w:p>
          <w:p w:rsidR="00215274" w:rsidRDefault="00215274" w:rsidP="001C22E1">
            <w:pPr>
              <w:autoSpaceDE w:val="0"/>
              <w:autoSpaceDN w:val="0"/>
              <w:adjustRightInd w:val="0"/>
              <w:rPr>
                <w:rFonts w:ascii="Arial" w:hAnsi="Arial"/>
              </w:rPr>
            </w:pPr>
          </w:p>
          <w:p w:rsidR="00215274" w:rsidRDefault="00215274" w:rsidP="001C22E1">
            <w:pPr>
              <w:autoSpaceDE w:val="0"/>
              <w:autoSpaceDN w:val="0"/>
              <w:adjustRightInd w:val="0"/>
              <w:rPr>
                <w:rFonts w:ascii="Arial" w:hAnsi="Arial"/>
              </w:rPr>
            </w:pPr>
            <w:r>
              <w:rPr>
                <w:rFonts w:ascii="Arial" w:hAnsi="Arial"/>
              </w:rPr>
              <w:t>Departmental staff have indicated that</w:t>
            </w:r>
            <w:r w:rsidR="00914A97">
              <w:rPr>
                <w:rFonts w:ascii="Arial" w:hAnsi="Arial"/>
              </w:rPr>
              <w:t>,</w:t>
            </w:r>
            <w:r>
              <w:rPr>
                <w:rFonts w:ascii="Arial" w:hAnsi="Arial"/>
              </w:rPr>
              <w:t xml:space="preserve"> when a portion of a Neurology gift is transferred to another department for </w:t>
            </w:r>
            <w:r w:rsidR="00623DD2">
              <w:rPr>
                <w:rFonts w:ascii="Arial" w:hAnsi="Arial"/>
              </w:rPr>
              <w:t>support/</w:t>
            </w:r>
            <w:r w:rsidR="009567F0">
              <w:rPr>
                <w:rFonts w:ascii="Arial" w:hAnsi="Arial"/>
              </w:rPr>
              <w:t>collaboration</w:t>
            </w:r>
            <w:r w:rsidR="00914A97">
              <w:rPr>
                <w:rFonts w:ascii="Arial" w:hAnsi="Arial"/>
              </w:rPr>
              <w:t>, Neurology is no longer</w:t>
            </w:r>
            <w:r>
              <w:rPr>
                <w:rFonts w:ascii="Arial" w:hAnsi="Arial"/>
              </w:rPr>
              <w:t xml:space="preserve"> responsible for monitoring how the funds were utilized.</w:t>
            </w:r>
          </w:p>
          <w:p w:rsidR="00215274" w:rsidRDefault="00215274" w:rsidP="001C22E1">
            <w:pPr>
              <w:autoSpaceDE w:val="0"/>
              <w:autoSpaceDN w:val="0"/>
              <w:adjustRightInd w:val="0"/>
              <w:rPr>
                <w:rFonts w:ascii="Arial" w:hAnsi="Arial"/>
              </w:rPr>
            </w:pPr>
          </w:p>
          <w:p w:rsidR="00215274" w:rsidRDefault="00215274" w:rsidP="001C22E1">
            <w:pPr>
              <w:autoSpaceDE w:val="0"/>
              <w:autoSpaceDN w:val="0"/>
              <w:adjustRightInd w:val="0"/>
              <w:rPr>
                <w:rFonts w:ascii="Arial" w:hAnsi="Arial"/>
              </w:rPr>
            </w:pPr>
          </w:p>
          <w:p w:rsidR="00215274" w:rsidRDefault="00215274" w:rsidP="001C22E1">
            <w:pPr>
              <w:autoSpaceDE w:val="0"/>
              <w:autoSpaceDN w:val="0"/>
              <w:adjustRightInd w:val="0"/>
              <w:rPr>
                <w:rFonts w:ascii="Arial" w:hAnsi="Arial"/>
              </w:rPr>
            </w:pPr>
          </w:p>
          <w:p w:rsidR="00215274" w:rsidRDefault="00215274" w:rsidP="001C22E1">
            <w:pPr>
              <w:autoSpaceDE w:val="0"/>
              <w:autoSpaceDN w:val="0"/>
              <w:adjustRightInd w:val="0"/>
              <w:rPr>
                <w:rFonts w:ascii="Arial" w:hAnsi="Arial"/>
              </w:rPr>
            </w:pPr>
          </w:p>
          <w:p w:rsidR="00215274" w:rsidRDefault="00215274" w:rsidP="001C22E1">
            <w:pPr>
              <w:autoSpaceDE w:val="0"/>
              <w:autoSpaceDN w:val="0"/>
              <w:adjustRightInd w:val="0"/>
              <w:rPr>
                <w:rFonts w:ascii="Arial" w:hAnsi="Arial"/>
              </w:rPr>
            </w:pPr>
          </w:p>
        </w:tc>
        <w:tc>
          <w:tcPr>
            <w:tcW w:w="4880" w:type="dxa"/>
            <w:shd w:val="clear" w:color="auto" w:fill="auto"/>
          </w:tcPr>
          <w:p w:rsidR="00215274" w:rsidRDefault="00215274" w:rsidP="001C22E1">
            <w:pPr>
              <w:autoSpaceDE w:val="0"/>
              <w:autoSpaceDN w:val="0"/>
              <w:adjustRightInd w:val="0"/>
              <w:rPr>
                <w:rFonts w:ascii="Arial" w:hAnsi="Arial"/>
              </w:rPr>
            </w:pPr>
          </w:p>
          <w:p w:rsidR="00623DD2" w:rsidRDefault="00623DD2" w:rsidP="001C22E1">
            <w:pPr>
              <w:autoSpaceDE w:val="0"/>
              <w:autoSpaceDN w:val="0"/>
              <w:adjustRightInd w:val="0"/>
              <w:rPr>
                <w:rFonts w:ascii="Arial" w:hAnsi="Arial"/>
              </w:rPr>
            </w:pPr>
          </w:p>
          <w:p w:rsidR="00623DD2" w:rsidRDefault="00623DD2" w:rsidP="00623DD2">
            <w:pPr>
              <w:autoSpaceDE w:val="0"/>
              <w:autoSpaceDN w:val="0"/>
              <w:adjustRightInd w:val="0"/>
              <w:rPr>
                <w:rFonts w:ascii="Arial" w:hAnsi="Arial" w:cs="Arial"/>
              </w:rPr>
            </w:pPr>
            <w:r>
              <w:rPr>
                <w:rFonts w:ascii="Arial" w:hAnsi="Arial" w:cs="Arial"/>
              </w:rPr>
              <w:t xml:space="preserve">As a best practice, </w:t>
            </w:r>
            <w:r w:rsidR="00FB1BF0">
              <w:rPr>
                <w:rFonts w:ascii="Arial" w:hAnsi="Arial" w:cs="Arial"/>
              </w:rPr>
              <w:t xml:space="preserve">when funds are initially transferred, </w:t>
            </w:r>
            <w:r>
              <w:rPr>
                <w:rFonts w:ascii="Arial" w:hAnsi="Arial" w:cs="Arial"/>
              </w:rPr>
              <w:t xml:space="preserve">the transferring department should receive from the recipient department an attestation </w:t>
            </w:r>
            <w:r w:rsidR="00FB1BF0">
              <w:rPr>
                <w:rFonts w:ascii="Arial" w:hAnsi="Arial" w:cs="Arial"/>
              </w:rPr>
              <w:t xml:space="preserve">that the funds will be spent in accordance with the gift purpose.  Quarterly, the recipient department should provide a general ledger extract showing expenditures charged and attesting that expenditures were in accordance with the gift purpose.  </w:t>
            </w:r>
            <w:r w:rsidR="009567F0">
              <w:rPr>
                <w:rFonts w:ascii="Arial" w:hAnsi="Arial" w:cs="Arial"/>
              </w:rPr>
              <w:t>The</w:t>
            </w:r>
            <w:r w:rsidR="00914A97">
              <w:rPr>
                <w:rFonts w:ascii="Arial" w:hAnsi="Arial" w:cs="Arial"/>
              </w:rPr>
              <w:t xml:space="preserve"> DGSOM</w:t>
            </w:r>
            <w:r w:rsidR="009567F0">
              <w:rPr>
                <w:rFonts w:ascii="Arial" w:hAnsi="Arial" w:cs="Arial"/>
              </w:rPr>
              <w:t xml:space="preserve"> Dean’s Office supports such a process.</w:t>
            </w:r>
          </w:p>
          <w:p w:rsidR="00623DD2" w:rsidRDefault="00623DD2" w:rsidP="009567F0">
            <w:pPr>
              <w:autoSpaceDE w:val="0"/>
              <w:autoSpaceDN w:val="0"/>
              <w:adjustRightInd w:val="0"/>
              <w:rPr>
                <w:rFonts w:ascii="Arial" w:hAnsi="Arial"/>
              </w:rPr>
            </w:pPr>
          </w:p>
        </w:tc>
        <w:tc>
          <w:tcPr>
            <w:tcW w:w="4880" w:type="dxa"/>
            <w:shd w:val="clear" w:color="auto" w:fill="auto"/>
          </w:tcPr>
          <w:p w:rsidR="00215274" w:rsidRDefault="00215274" w:rsidP="001C22E1">
            <w:pPr>
              <w:rPr>
                <w:rFonts w:ascii="Arial" w:hAnsi="Arial" w:cs="Arial"/>
              </w:rPr>
            </w:pPr>
          </w:p>
          <w:p w:rsidR="0065736B" w:rsidRDefault="0065736B" w:rsidP="001C22E1">
            <w:pPr>
              <w:rPr>
                <w:rFonts w:ascii="Arial" w:hAnsi="Arial" w:cs="Arial"/>
              </w:rPr>
            </w:pPr>
          </w:p>
          <w:p w:rsidR="0065736B" w:rsidRDefault="0029367C" w:rsidP="003F2F3B">
            <w:pPr>
              <w:rPr>
                <w:rFonts w:ascii="Arial" w:hAnsi="Arial" w:cs="Arial"/>
              </w:rPr>
            </w:pPr>
            <w:r>
              <w:rPr>
                <w:rFonts w:ascii="Arial" w:hAnsi="Arial" w:cs="Arial"/>
              </w:rPr>
              <w:t>The C</w:t>
            </w:r>
            <w:r w:rsidR="003F2F3B">
              <w:rPr>
                <w:rFonts w:ascii="Arial" w:hAnsi="Arial" w:cs="Arial"/>
              </w:rPr>
              <w:t xml:space="preserve">hief Administrative Officer </w:t>
            </w:r>
            <w:r>
              <w:rPr>
                <w:rFonts w:ascii="Arial" w:hAnsi="Arial" w:cs="Arial"/>
              </w:rPr>
              <w:t>is instructing the C</w:t>
            </w:r>
            <w:r w:rsidR="003F2F3B">
              <w:rPr>
                <w:rFonts w:ascii="Arial" w:hAnsi="Arial" w:cs="Arial"/>
              </w:rPr>
              <w:t xml:space="preserve">hief Financial Officer </w:t>
            </w:r>
            <w:r>
              <w:rPr>
                <w:rFonts w:ascii="Arial" w:hAnsi="Arial" w:cs="Arial"/>
              </w:rPr>
              <w:t>and financial team to abide</w:t>
            </w:r>
            <w:r w:rsidR="003F2F3B">
              <w:rPr>
                <w:rFonts w:ascii="Arial" w:hAnsi="Arial" w:cs="Arial"/>
              </w:rPr>
              <w:t xml:space="preserve"> by this best practice. We cannot</w:t>
            </w:r>
            <w:r>
              <w:rPr>
                <w:rFonts w:ascii="Arial" w:hAnsi="Arial" w:cs="Arial"/>
              </w:rPr>
              <w:t xml:space="preserve"> ensure compliance on the part of the recipient department</w:t>
            </w:r>
            <w:r w:rsidR="003F2F3B">
              <w:rPr>
                <w:rFonts w:ascii="Arial" w:hAnsi="Arial" w:cs="Arial"/>
              </w:rPr>
              <w:t>,</w:t>
            </w:r>
            <w:r>
              <w:rPr>
                <w:rFonts w:ascii="Arial" w:hAnsi="Arial" w:cs="Arial"/>
              </w:rPr>
              <w:t xml:space="preserve"> but we will try. </w:t>
            </w:r>
          </w:p>
        </w:tc>
      </w:tr>
    </w:tbl>
    <w:p w:rsidR="00ED1DFC" w:rsidRPr="004F30E4" w:rsidRDefault="00ED1DFC" w:rsidP="004F30E4">
      <w:pPr>
        <w:spacing w:after="0" w:line="360" w:lineRule="auto"/>
        <w:rPr>
          <w:rFonts w:ascii="Arial" w:hAnsi="Arial" w:cs="Arial"/>
          <w:sz w:val="24"/>
          <w:szCs w:val="24"/>
        </w:rPr>
      </w:pPr>
    </w:p>
    <w:p w:rsidR="004F30E4" w:rsidRPr="004F30E4" w:rsidRDefault="004F30E4" w:rsidP="004F30E4">
      <w:pPr>
        <w:spacing w:after="0" w:line="276" w:lineRule="auto"/>
        <w:rPr>
          <w:rFonts w:ascii="Arial" w:hAnsi="Arial" w:cs="Arial"/>
          <w:sz w:val="16"/>
          <w:szCs w:val="16"/>
        </w:rPr>
      </w:pPr>
      <w:r w:rsidRPr="004F30E4">
        <w:rPr>
          <w:rFonts w:ascii="Arial" w:hAnsi="Arial" w:cs="Arial"/>
          <w:sz w:val="16"/>
          <w:szCs w:val="16"/>
        </w:rPr>
        <w:t>180522-3</w:t>
      </w:r>
    </w:p>
    <w:p w:rsidR="00ED1DFC" w:rsidRPr="004F30E4" w:rsidRDefault="004F30E4" w:rsidP="004F30E4">
      <w:pPr>
        <w:spacing w:line="276" w:lineRule="auto"/>
        <w:rPr>
          <w:rFonts w:ascii="Arial" w:hAnsi="Arial" w:cs="Arial"/>
          <w:sz w:val="16"/>
          <w:szCs w:val="16"/>
        </w:rPr>
      </w:pPr>
      <w:r w:rsidRPr="004F30E4">
        <w:rPr>
          <w:rFonts w:ascii="Arial" w:hAnsi="Arial" w:cs="Arial"/>
          <w:sz w:val="16"/>
          <w:szCs w:val="16"/>
        </w:rPr>
        <w:t>REP</w:t>
      </w:r>
    </w:p>
    <w:sectPr w:rsidR="00ED1DFC" w:rsidRPr="004F30E4" w:rsidSect="001C22E1">
      <w:pgSz w:w="15840" w:h="12240" w:orient="landscape" w:code="1"/>
      <w:pgMar w:top="1080" w:right="36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42B" w:rsidRDefault="00EE042B">
      <w:pPr>
        <w:spacing w:after="0" w:line="240" w:lineRule="auto"/>
      </w:pPr>
      <w:r>
        <w:separator/>
      </w:r>
    </w:p>
  </w:endnote>
  <w:endnote w:type="continuationSeparator" w:id="0">
    <w:p w:rsidR="00EE042B" w:rsidRDefault="00EE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18" w:rsidRDefault="00B97B18" w:rsidP="001C22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7B18" w:rsidRDefault="00B97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18" w:rsidRPr="006A0655" w:rsidRDefault="00B97B18" w:rsidP="001C22E1">
    <w:pPr>
      <w:pStyle w:val="Footer"/>
      <w:jc w:val="cen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18" w:rsidRPr="00FD43A0" w:rsidRDefault="00B97B18" w:rsidP="001C22E1">
    <w:pPr>
      <w:pStyle w:val="Footer"/>
      <w:framePr w:wrap="around" w:vAnchor="text" w:hAnchor="margin" w:xAlign="center" w:y="1"/>
      <w:rPr>
        <w:rStyle w:val="PageNumber"/>
        <w:rFonts w:ascii="Arial" w:hAnsi="Arial" w:cs="Arial"/>
        <w:sz w:val="24"/>
        <w:szCs w:val="24"/>
      </w:rPr>
    </w:pPr>
    <w:r w:rsidRPr="00FD43A0">
      <w:rPr>
        <w:rStyle w:val="PageNumber"/>
        <w:rFonts w:ascii="Arial" w:hAnsi="Arial" w:cs="Arial"/>
        <w:sz w:val="24"/>
        <w:szCs w:val="24"/>
      </w:rPr>
      <w:fldChar w:fldCharType="begin"/>
    </w:r>
    <w:r w:rsidRPr="00FD43A0">
      <w:rPr>
        <w:rStyle w:val="PageNumber"/>
        <w:rFonts w:ascii="Arial" w:hAnsi="Arial" w:cs="Arial"/>
        <w:sz w:val="24"/>
        <w:szCs w:val="24"/>
      </w:rPr>
      <w:instrText xml:space="preserve">PAGE  </w:instrText>
    </w:r>
    <w:r w:rsidRPr="00FD43A0">
      <w:rPr>
        <w:rStyle w:val="PageNumber"/>
        <w:rFonts w:ascii="Arial" w:hAnsi="Arial" w:cs="Arial"/>
        <w:sz w:val="24"/>
        <w:szCs w:val="24"/>
      </w:rPr>
      <w:fldChar w:fldCharType="separate"/>
    </w:r>
    <w:r w:rsidR="000557EE">
      <w:rPr>
        <w:rStyle w:val="PageNumber"/>
        <w:rFonts w:ascii="Arial" w:hAnsi="Arial" w:cs="Arial"/>
        <w:noProof/>
        <w:sz w:val="24"/>
        <w:szCs w:val="24"/>
      </w:rPr>
      <w:t>6</w:t>
    </w:r>
    <w:r w:rsidRPr="00FD43A0">
      <w:rPr>
        <w:rStyle w:val="PageNumber"/>
        <w:rFonts w:ascii="Arial" w:hAnsi="Arial" w:cs="Arial"/>
        <w:sz w:val="24"/>
        <w:szCs w:val="24"/>
      </w:rPr>
      <w:fldChar w:fldCharType="end"/>
    </w:r>
  </w:p>
  <w:p w:rsidR="00B97B18" w:rsidRPr="00FD43A0" w:rsidRDefault="00B97B18">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42B" w:rsidRDefault="00EE042B">
      <w:pPr>
        <w:spacing w:after="0" w:line="240" w:lineRule="auto"/>
      </w:pPr>
      <w:r>
        <w:separator/>
      </w:r>
    </w:p>
  </w:footnote>
  <w:footnote w:type="continuationSeparator" w:id="0">
    <w:p w:rsidR="00EE042B" w:rsidRDefault="00EE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18" w:rsidRDefault="00B97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18" w:rsidRDefault="00B97B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18" w:rsidRDefault="00B97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B3DBB"/>
    <w:multiLevelType w:val="hybridMultilevel"/>
    <w:tmpl w:val="FF5C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35344"/>
    <w:multiLevelType w:val="hybridMultilevel"/>
    <w:tmpl w:val="CF16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7B2F83"/>
    <w:multiLevelType w:val="hybridMultilevel"/>
    <w:tmpl w:val="D35C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C04904"/>
    <w:multiLevelType w:val="hybridMultilevel"/>
    <w:tmpl w:val="8FC4BF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85"/>
    <w:rsid w:val="000557EE"/>
    <w:rsid w:val="00057C2D"/>
    <w:rsid w:val="00086478"/>
    <w:rsid w:val="000864F9"/>
    <w:rsid w:val="00096DFA"/>
    <w:rsid w:val="00123F3F"/>
    <w:rsid w:val="001620E5"/>
    <w:rsid w:val="00171DBB"/>
    <w:rsid w:val="00183561"/>
    <w:rsid w:val="001C22E1"/>
    <w:rsid w:val="002009B3"/>
    <w:rsid w:val="00215274"/>
    <w:rsid w:val="0029367C"/>
    <w:rsid w:val="002B6333"/>
    <w:rsid w:val="002E0BC8"/>
    <w:rsid w:val="002E4B86"/>
    <w:rsid w:val="00307C52"/>
    <w:rsid w:val="00380D59"/>
    <w:rsid w:val="00382F61"/>
    <w:rsid w:val="00397CD6"/>
    <w:rsid w:val="003F2F3B"/>
    <w:rsid w:val="004375BE"/>
    <w:rsid w:val="004579AC"/>
    <w:rsid w:val="004A2F20"/>
    <w:rsid w:val="004D1536"/>
    <w:rsid w:val="004F30E4"/>
    <w:rsid w:val="0054729B"/>
    <w:rsid w:val="00562D29"/>
    <w:rsid w:val="00575FCA"/>
    <w:rsid w:val="0058239C"/>
    <w:rsid w:val="00583627"/>
    <w:rsid w:val="00586F73"/>
    <w:rsid w:val="00594438"/>
    <w:rsid w:val="005A4530"/>
    <w:rsid w:val="005B4F54"/>
    <w:rsid w:val="005C1405"/>
    <w:rsid w:val="00607087"/>
    <w:rsid w:val="00614DA9"/>
    <w:rsid w:val="00623DD2"/>
    <w:rsid w:val="00636DB7"/>
    <w:rsid w:val="00655D4D"/>
    <w:rsid w:val="0065736B"/>
    <w:rsid w:val="00676A37"/>
    <w:rsid w:val="00686C71"/>
    <w:rsid w:val="006A7E00"/>
    <w:rsid w:val="006B5F5D"/>
    <w:rsid w:val="006B6E50"/>
    <w:rsid w:val="006D3CC2"/>
    <w:rsid w:val="006F4F8C"/>
    <w:rsid w:val="00700FD3"/>
    <w:rsid w:val="00715BA4"/>
    <w:rsid w:val="00716B73"/>
    <w:rsid w:val="00743035"/>
    <w:rsid w:val="007821BA"/>
    <w:rsid w:val="00795703"/>
    <w:rsid w:val="00802202"/>
    <w:rsid w:val="008A46EB"/>
    <w:rsid w:val="008A7464"/>
    <w:rsid w:val="0090043E"/>
    <w:rsid w:val="00914A97"/>
    <w:rsid w:val="00944724"/>
    <w:rsid w:val="0095044A"/>
    <w:rsid w:val="009504B2"/>
    <w:rsid w:val="009567F0"/>
    <w:rsid w:val="009836F8"/>
    <w:rsid w:val="009855EE"/>
    <w:rsid w:val="00993116"/>
    <w:rsid w:val="009E0AAD"/>
    <w:rsid w:val="009F27A0"/>
    <w:rsid w:val="00A32FD2"/>
    <w:rsid w:val="00A46656"/>
    <w:rsid w:val="00AC2BC4"/>
    <w:rsid w:val="00AE106E"/>
    <w:rsid w:val="00B4084E"/>
    <w:rsid w:val="00B52639"/>
    <w:rsid w:val="00B539AD"/>
    <w:rsid w:val="00B54972"/>
    <w:rsid w:val="00B62D45"/>
    <w:rsid w:val="00B97B18"/>
    <w:rsid w:val="00BB3BB2"/>
    <w:rsid w:val="00BC5BC3"/>
    <w:rsid w:val="00BE570E"/>
    <w:rsid w:val="00C54CE9"/>
    <w:rsid w:val="00C71F8F"/>
    <w:rsid w:val="00CA2B64"/>
    <w:rsid w:val="00CF7685"/>
    <w:rsid w:val="00D61EBB"/>
    <w:rsid w:val="00D72E6A"/>
    <w:rsid w:val="00D8208A"/>
    <w:rsid w:val="00D83C82"/>
    <w:rsid w:val="00D952E3"/>
    <w:rsid w:val="00E073C9"/>
    <w:rsid w:val="00E10EF1"/>
    <w:rsid w:val="00E22EDC"/>
    <w:rsid w:val="00E316F6"/>
    <w:rsid w:val="00EA06EF"/>
    <w:rsid w:val="00EB25E3"/>
    <w:rsid w:val="00ED1DFC"/>
    <w:rsid w:val="00EE042B"/>
    <w:rsid w:val="00F22E28"/>
    <w:rsid w:val="00F4702E"/>
    <w:rsid w:val="00F76AA2"/>
    <w:rsid w:val="00FB1BF0"/>
    <w:rsid w:val="00FD6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329A7"/>
  <w15:chartTrackingRefBased/>
  <w15:docId w15:val="{BF4B64FD-0533-426E-9BB0-50ED720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1DFC"/>
    <w:pPr>
      <w:tabs>
        <w:tab w:val="center" w:pos="4320"/>
        <w:tab w:val="right" w:pos="8640"/>
      </w:tabs>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rsid w:val="00ED1DFC"/>
    <w:rPr>
      <w:rFonts w:ascii="Times New Roman" w:eastAsia="Times New Roman" w:hAnsi="Times New Roman" w:cs="Times New Roman"/>
      <w:sz w:val="20"/>
      <w:szCs w:val="20"/>
      <w:lang w:eastAsia="en-US"/>
    </w:rPr>
  </w:style>
  <w:style w:type="paragraph" w:styleId="Footer">
    <w:name w:val="footer"/>
    <w:basedOn w:val="Normal"/>
    <w:link w:val="FooterChar"/>
    <w:rsid w:val="00ED1DFC"/>
    <w:pPr>
      <w:tabs>
        <w:tab w:val="center" w:pos="4320"/>
        <w:tab w:val="right" w:pos="8640"/>
      </w:tabs>
      <w:spacing w:after="0" w:line="240" w:lineRule="auto"/>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rsid w:val="00ED1DFC"/>
    <w:rPr>
      <w:rFonts w:ascii="Times New Roman" w:eastAsia="Times New Roman" w:hAnsi="Times New Roman" w:cs="Times New Roman"/>
      <w:sz w:val="20"/>
      <w:szCs w:val="20"/>
      <w:lang w:eastAsia="en-US"/>
    </w:rPr>
  </w:style>
  <w:style w:type="character" w:styleId="PageNumber">
    <w:name w:val="page number"/>
    <w:basedOn w:val="DefaultParagraphFont"/>
    <w:rsid w:val="00ED1DFC"/>
  </w:style>
  <w:style w:type="table" w:styleId="TableGrid">
    <w:name w:val="Table Grid"/>
    <w:basedOn w:val="TableNormal"/>
    <w:rsid w:val="00ED1DFC"/>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DFC"/>
    <w:pPr>
      <w:spacing w:after="0" w:line="240" w:lineRule="auto"/>
      <w:ind w:left="720"/>
      <w:contextualSpacing/>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56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51877">
      <w:bodyDiv w:val="1"/>
      <w:marLeft w:val="0"/>
      <w:marRight w:val="0"/>
      <w:marTop w:val="0"/>
      <w:marBottom w:val="0"/>
      <w:divBdr>
        <w:top w:val="none" w:sz="0" w:space="0" w:color="auto"/>
        <w:left w:val="none" w:sz="0" w:space="0" w:color="auto"/>
        <w:bottom w:val="none" w:sz="0" w:space="0" w:color="auto"/>
        <w:right w:val="none" w:sz="0" w:space="0" w:color="auto"/>
      </w:divBdr>
    </w:div>
    <w:div w:id="20133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329037A6</Template>
  <TotalTime>0</TotalTime>
  <Pages>7</Pages>
  <Words>1738</Words>
  <Characters>9370</Characters>
  <Application>Microsoft Office Word</Application>
  <DocSecurity>0</DocSecurity>
  <Lines>323</Lines>
  <Paragraphs>182</Paragraphs>
  <ScaleCrop>false</ScaleCrop>
  <HeadingPairs>
    <vt:vector size="2" baseType="variant">
      <vt:variant>
        <vt:lpstr>Title</vt:lpstr>
      </vt:variant>
      <vt:variant>
        <vt:i4>1</vt:i4>
      </vt:variant>
    </vt:vector>
  </HeadingPairs>
  <TitlesOfParts>
    <vt:vector size="1" baseType="lpstr">
      <vt:lpstr/>
    </vt:vector>
  </TitlesOfParts>
  <Company>UCLA IT Services</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Mancera</dc:creator>
  <cp:keywords/>
  <dc:description/>
  <cp:lastModifiedBy>Paulina Nunez</cp:lastModifiedBy>
  <cp:revision>2</cp:revision>
  <cp:lastPrinted>2018-05-22T20:32:00Z</cp:lastPrinted>
  <dcterms:created xsi:type="dcterms:W3CDTF">2018-06-15T18:24:00Z</dcterms:created>
  <dcterms:modified xsi:type="dcterms:W3CDTF">2018-06-15T18:24:00Z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