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6C" w:rsidRPr="00A517F5" w:rsidRDefault="006D796C" w:rsidP="006D796C">
      <w:pPr>
        <w:spacing w:line="360" w:lineRule="auto"/>
        <w:jc w:val="right"/>
        <w:rPr>
          <w:rFonts w:ascii="Arial" w:hAnsi="Arial" w:cs="Arial"/>
          <w:b/>
          <w:color w:val="FF0000"/>
          <w:sz w:val="28"/>
          <w:szCs w:val="28"/>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center"/>
        <w:rPr>
          <w:rFonts w:ascii="Arial" w:hAnsi="Arial" w:cs="Arial"/>
        </w:rPr>
      </w:pPr>
      <w:r w:rsidRPr="00A517F5">
        <w:rPr>
          <w:rFonts w:ascii="Arial" w:hAnsi="Arial" w:cs="Arial"/>
        </w:rPr>
        <w:t>HOUSING AND HOSPITALITY SERVICES</w:t>
      </w:r>
    </w:p>
    <w:p w:rsidR="006D796C" w:rsidRPr="00A517F5" w:rsidRDefault="006D796C" w:rsidP="006D796C">
      <w:pPr>
        <w:spacing w:line="360" w:lineRule="auto"/>
        <w:jc w:val="center"/>
        <w:rPr>
          <w:rFonts w:ascii="Arial" w:hAnsi="Arial" w:cs="Arial"/>
        </w:rPr>
      </w:pPr>
      <w:r w:rsidRPr="00A517F5">
        <w:rPr>
          <w:rFonts w:ascii="Arial" w:hAnsi="Arial" w:cs="Arial"/>
        </w:rPr>
        <w:t>DINING SERVICES PURCHASING (NO</w:t>
      </w:r>
      <w:bookmarkStart w:id="0" w:name="_GoBack"/>
      <w:bookmarkEnd w:id="0"/>
      <w:r w:rsidRPr="00A517F5">
        <w:rPr>
          <w:rFonts w:ascii="Arial" w:hAnsi="Arial" w:cs="Arial"/>
        </w:rPr>
        <w:t>N-FOOD)</w:t>
      </w:r>
    </w:p>
    <w:p w:rsidR="006D796C" w:rsidRPr="00A517F5" w:rsidRDefault="006D796C" w:rsidP="006D796C">
      <w:pPr>
        <w:spacing w:line="360" w:lineRule="auto"/>
        <w:jc w:val="center"/>
        <w:rPr>
          <w:rFonts w:ascii="Arial" w:hAnsi="Arial" w:cs="Arial"/>
        </w:rPr>
      </w:pPr>
      <w:r w:rsidRPr="00A517F5">
        <w:rPr>
          <w:rFonts w:ascii="Arial" w:hAnsi="Arial" w:cs="Arial"/>
        </w:rPr>
        <w:t>AUDIT REPORT #16-2226</w:t>
      </w: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p>
    <w:p w:rsidR="006D796C" w:rsidRDefault="006D796C" w:rsidP="006D796C">
      <w:pPr>
        <w:spacing w:line="360" w:lineRule="auto"/>
        <w:jc w:val="center"/>
        <w:rPr>
          <w:rFonts w:ascii="Arial" w:hAnsi="Arial" w:cs="Arial"/>
          <w:sz w:val="16"/>
          <w:szCs w:val="16"/>
        </w:rPr>
      </w:pPr>
      <w:r w:rsidRPr="00A517F5">
        <w:rPr>
          <w:rFonts w:ascii="Arial" w:hAnsi="Arial" w:cs="Arial"/>
          <w:sz w:val="16"/>
          <w:szCs w:val="16"/>
        </w:rPr>
        <w:t>Audit &amp; Advisory Services</w:t>
      </w:r>
    </w:p>
    <w:p w:rsidR="006D796C" w:rsidRPr="00A517F5" w:rsidRDefault="00AF0C4D" w:rsidP="006D796C">
      <w:pPr>
        <w:spacing w:line="360" w:lineRule="auto"/>
        <w:jc w:val="center"/>
        <w:rPr>
          <w:rFonts w:ascii="Arial" w:hAnsi="Arial" w:cs="Arial"/>
          <w:sz w:val="16"/>
          <w:szCs w:val="16"/>
        </w:rPr>
        <w:sectPr w:rsidR="006D796C" w:rsidRPr="00A517F5" w:rsidSect="00066ED7">
          <w:footerReference w:type="even" r:id="rId8"/>
          <w:pgSz w:w="12240" w:h="15840"/>
          <w:pgMar w:top="1440" w:right="1440" w:bottom="1080" w:left="1440" w:header="720" w:footer="720" w:gutter="0"/>
          <w:cols w:space="720"/>
        </w:sectPr>
      </w:pPr>
      <w:r>
        <w:rPr>
          <w:rFonts w:ascii="Arial" w:hAnsi="Arial" w:cs="Arial"/>
          <w:sz w:val="16"/>
          <w:szCs w:val="16"/>
        </w:rPr>
        <w:t>August</w:t>
      </w:r>
      <w:r w:rsidR="006D796C">
        <w:rPr>
          <w:rFonts w:ascii="Arial" w:hAnsi="Arial" w:cs="Arial"/>
          <w:sz w:val="16"/>
          <w:szCs w:val="16"/>
        </w:rPr>
        <w:t xml:space="preserve"> 2016</w:t>
      </w:r>
    </w:p>
    <w:p w:rsidR="006D796C" w:rsidRPr="00A517F5" w:rsidRDefault="006D796C" w:rsidP="006D796C">
      <w:pPr>
        <w:spacing w:line="360" w:lineRule="auto"/>
        <w:jc w:val="center"/>
        <w:rPr>
          <w:rFonts w:ascii="Arial" w:hAnsi="Arial" w:cs="Arial"/>
        </w:rPr>
      </w:pPr>
      <w:r w:rsidRPr="00A517F5">
        <w:rPr>
          <w:rFonts w:ascii="Arial" w:hAnsi="Arial" w:cs="Arial"/>
        </w:rPr>
        <w:lastRenderedPageBreak/>
        <w:t>HOUSING AND HOSPITALITY SERVICES</w:t>
      </w:r>
    </w:p>
    <w:p w:rsidR="006D796C" w:rsidRPr="00A517F5" w:rsidRDefault="006D796C" w:rsidP="006D796C">
      <w:pPr>
        <w:spacing w:line="360" w:lineRule="auto"/>
        <w:jc w:val="center"/>
        <w:rPr>
          <w:rFonts w:ascii="Arial" w:hAnsi="Arial" w:cs="Arial"/>
        </w:rPr>
      </w:pPr>
      <w:r w:rsidRPr="00A517F5">
        <w:rPr>
          <w:rFonts w:ascii="Arial" w:hAnsi="Arial" w:cs="Arial"/>
        </w:rPr>
        <w:t>DINING SERVICES PURCHASING (NON-FOOD)</w:t>
      </w:r>
    </w:p>
    <w:p w:rsidR="006D796C" w:rsidRPr="00A517F5" w:rsidRDefault="006D796C" w:rsidP="006D796C">
      <w:pPr>
        <w:spacing w:line="360" w:lineRule="auto"/>
        <w:jc w:val="center"/>
        <w:rPr>
          <w:rFonts w:ascii="Arial" w:hAnsi="Arial" w:cs="Arial"/>
        </w:rPr>
      </w:pPr>
      <w:r w:rsidRPr="00A517F5">
        <w:rPr>
          <w:rFonts w:ascii="Arial" w:hAnsi="Arial" w:cs="Arial"/>
        </w:rPr>
        <w:t>AUDIT REPORT #16-2226</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keepNext/>
        <w:spacing w:line="360" w:lineRule="auto"/>
        <w:jc w:val="both"/>
        <w:outlineLvl w:val="0"/>
        <w:rPr>
          <w:rFonts w:ascii="Arial" w:hAnsi="Arial"/>
          <w:szCs w:val="20"/>
          <w:u w:val="single"/>
        </w:rPr>
      </w:pPr>
      <w:r w:rsidRPr="00A517F5">
        <w:rPr>
          <w:rFonts w:ascii="Arial" w:hAnsi="Arial"/>
          <w:szCs w:val="20"/>
          <w:u w:val="single"/>
        </w:rPr>
        <w:t>Background</w:t>
      </w:r>
    </w:p>
    <w:p w:rsidR="006D796C" w:rsidRPr="00A517F5" w:rsidRDefault="006D796C" w:rsidP="006D796C">
      <w:pPr>
        <w:overflowPunct w:val="0"/>
        <w:autoSpaceDE w:val="0"/>
        <w:autoSpaceDN w:val="0"/>
        <w:adjustRightInd w:val="0"/>
        <w:textAlignment w:val="baseline"/>
        <w:rPr>
          <w:rFonts w:ascii="Arial" w:hAnsi="Arial" w:cs="Arial"/>
        </w:rPr>
      </w:pPr>
    </w:p>
    <w:p w:rsidR="006D796C" w:rsidRPr="00A517F5" w:rsidRDefault="006D796C" w:rsidP="006D796C">
      <w:pPr>
        <w:spacing w:before="100" w:beforeAutospacing="1" w:after="100" w:afterAutospacing="1" w:line="360" w:lineRule="auto"/>
        <w:jc w:val="both"/>
        <w:rPr>
          <w:rFonts w:ascii="Arial" w:hAnsi="Arial"/>
        </w:rPr>
      </w:pPr>
      <w:r w:rsidRPr="00A517F5">
        <w:rPr>
          <w:rFonts w:ascii="Arial" w:hAnsi="Arial"/>
        </w:rPr>
        <w:t>In accordance with the UCLA Administration fiscal year 2015-16 audit plan, Audit &amp; Advisory Services (A&amp;AS) conducted an audit of Dining Services Purchasing (Non-Food).  UCLA Dining Services is an award-winning program that is nationally recognized for its high quality cuisine, state-of-the-art facilities, and innovative services. It caters to the needs of its guests with convenience and flexibility in mind and offers a wide variety of menu choices, dining hours, and meal plans.  The program is designed to provide fresh, healthy, and tasty meals every day for students, faculty, staff, and visitors.</w:t>
      </w:r>
    </w:p>
    <w:p w:rsidR="006D796C" w:rsidRPr="00A517F5" w:rsidRDefault="006D796C" w:rsidP="006D796C">
      <w:pPr>
        <w:spacing w:before="100" w:beforeAutospacing="1" w:after="100" w:afterAutospacing="1" w:line="360" w:lineRule="auto"/>
        <w:jc w:val="both"/>
        <w:rPr>
          <w:rFonts w:ascii="Arial" w:hAnsi="Arial" w:cs="Arial"/>
        </w:rPr>
      </w:pPr>
      <w:r w:rsidRPr="00A517F5">
        <w:rPr>
          <w:rFonts w:ascii="Arial" w:hAnsi="Arial" w:cs="Arial"/>
          <w:bCs/>
        </w:rPr>
        <w:t xml:space="preserve">Dining Services has two types of dining options: residential and quick-service restaurants.  </w:t>
      </w:r>
      <w:r w:rsidRPr="00A517F5">
        <w:rPr>
          <w:rFonts w:ascii="Arial" w:hAnsi="Arial" w:cs="Arial"/>
        </w:rPr>
        <w:t xml:space="preserve">Residential restaurants serve as many as ten entrée options at every meal.  All meals are buffet and all-you-can-eat style.  Diners may pay for their meal by meal plan, BruinCard Easy Pay, or a meal ticket; cash and credit cards are not accepted at the restaurants.  Guests and visitors may purchase a meal ticket or a visitor BruinCard to use at the restaurants.  </w:t>
      </w:r>
      <w:r w:rsidRPr="00A517F5">
        <w:rPr>
          <w:rFonts w:ascii="Arial" w:hAnsi="Arial" w:cs="Arial"/>
          <w:bCs/>
        </w:rPr>
        <w:t xml:space="preserve">Residential restaurants include Bruin Plate; Covel Commons; De Neve Dining, and FEAST at Rieber.  </w:t>
      </w:r>
      <w:r w:rsidRPr="00A517F5">
        <w:rPr>
          <w:rFonts w:ascii="Arial" w:hAnsi="Arial" w:cs="Arial"/>
        </w:rPr>
        <w:t xml:space="preserve">Quick-service restaurants offer diners the opportunity to enjoy a meal in a casual café style atmosphere or take it “to-go.”  Patrons can pay using cash, BruinCard Easy Pay or a meal plan.  </w:t>
      </w:r>
      <w:r w:rsidRPr="00A517F5">
        <w:rPr>
          <w:rFonts w:ascii="Arial" w:hAnsi="Arial" w:cs="Arial"/>
          <w:bCs/>
        </w:rPr>
        <w:t>The quick-service restaurants include Bruin Café, Café 1919, and Rendezvous.</w:t>
      </w:r>
    </w:p>
    <w:p w:rsidR="006D796C" w:rsidRPr="00A517F5" w:rsidRDefault="006D796C" w:rsidP="006D796C">
      <w:pPr>
        <w:spacing w:before="100" w:beforeAutospacing="1" w:after="100" w:afterAutospacing="1" w:line="360" w:lineRule="auto"/>
        <w:jc w:val="both"/>
        <w:rPr>
          <w:rFonts w:ascii="Arial" w:hAnsi="Arial" w:cs="Arial"/>
        </w:rPr>
      </w:pPr>
      <w:r w:rsidRPr="00A517F5">
        <w:rPr>
          <w:rFonts w:ascii="Arial" w:hAnsi="Arial" w:cs="Arial"/>
        </w:rPr>
        <w:t>Each dining location is managed by a General Manager who reports to an Assistant Director.  The Senior Director of Food and Beverage, who reports to the Assistant Vice Chancellor of Housing &amp; Hospitality Services, oversees the entire Dining Services management team.</w:t>
      </w:r>
    </w:p>
    <w:p w:rsidR="006D796C" w:rsidRPr="00A517F5" w:rsidRDefault="006D796C" w:rsidP="006D796C">
      <w:pPr>
        <w:spacing w:line="360" w:lineRule="auto"/>
        <w:jc w:val="both"/>
        <w:rPr>
          <w:rFonts w:ascii="Arial" w:hAnsi="Arial" w:cs="Arial"/>
        </w:rPr>
      </w:pPr>
      <w:r w:rsidRPr="00A517F5">
        <w:rPr>
          <w:rFonts w:ascii="Arial" w:hAnsi="Arial" w:cs="Arial"/>
        </w:rPr>
        <w:t>Purchasing and accounts payable policies and procedures are established at the systemwide level in UC Business and Finance Bulletin BUS-43, “Materiel Management” (BUS-43).  Locally, UCLA Policy 740 (Purchasing Goods and Services) describes campus approval authorities, responsibilities, and restrictions for the purchase of goods and services.  UCLA Policy 741 (Low-Value Purchases) provides requirements and guidelines specifically governing purchases under low-value purchasing authority which has been delegated to individuals outside the Campus Purchasing department.  UCLA departments are authorized to place low-value (N Order-Class Codes) orders, for up to $5,000 per vendor, per account-code, per day, excluding transportation costs and taxes, in BruinBuy, UCLA’s web-based purchasing application.</w:t>
      </w:r>
    </w:p>
    <w:p w:rsidR="006D796C" w:rsidRPr="00A517F5" w:rsidRDefault="006D796C" w:rsidP="006D796C">
      <w:pPr>
        <w:spacing w:line="360" w:lineRule="auto"/>
        <w:jc w:val="both"/>
        <w:rPr>
          <w:rFonts w:ascii="Arial" w:hAnsi="Arial" w:cs="Arial"/>
        </w:rPr>
      </w:pPr>
    </w:p>
    <w:p w:rsidR="006D796C" w:rsidRPr="00A517F5" w:rsidRDefault="006D796C" w:rsidP="006D796C">
      <w:pPr>
        <w:overflowPunct w:val="0"/>
        <w:autoSpaceDE w:val="0"/>
        <w:autoSpaceDN w:val="0"/>
        <w:adjustRightInd w:val="0"/>
        <w:spacing w:line="360" w:lineRule="auto"/>
        <w:jc w:val="both"/>
        <w:rPr>
          <w:rFonts w:ascii="Arial" w:hAnsi="Arial" w:cs="Arial"/>
          <w:u w:val="single"/>
        </w:rPr>
      </w:pPr>
      <w:r w:rsidRPr="00A517F5">
        <w:rPr>
          <w:rFonts w:ascii="Arial" w:hAnsi="Arial" w:cs="Arial"/>
          <w:u w:val="single"/>
        </w:rPr>
        <w:t>Purpose and Scope</w:t>
      </w:r>
    </w:p>
    <w:p w:rsidR="006D796C" w:rsidRPr="00A517F5" w:rsidRDefault="006D796C" w:rsidP="006D796C">
      <w:pPr>
        <w:overflowPunct w:val="0"/>
        <w:autoSpaceDE w:val="0"/>
        <w:autoSpaceDN w:val="0"/>
        <w:adjustRightInd w:val="0"/>
        <w:spacing w:line="360" w:lineRule="auto"/>
        <w:jc w:val="both"/>
        <w:rPr>
          <w:rFonts w:ascii="Arial" w:hAnsi="Arial" w:cs="Arial"/>
        </w:rPr>
      </w:pPr>
    </w:p>
    <w:p w:rsidR="006D796C" w:rsidRPr="00A517F5" w:rsidRDefault="006D796C" w:rsidP="006D796C">
      <w:pPr>
        <w:overflowPunct w:val="0"/>
        <w:autoSpaceDE w:val="0"/>
        <w:autoSpaceDN w:val="0"/>
        <w:adjustRightInd w:val="0"/>
        <w:spacing w:line="360" w:lineRule="auto"/>
        <w:jc w:val="both"/>
        <w:rPr>
          <w:rFonts w:ascii="Arial" w:hAnsi="Arial" w:cs="Arial"/>
          <w:u w:val="single"/>
        </w:rPr>
      </w:pPr>
      <w:r w:rsidRPr="00A517F5">
        <w:rPr>
          <w:rFonts w:ascii="Arial" w:hAnsi="Arial" w:cs="Arial"/>
        </w:rPr>
        <w:t>The purpose of the review was to ensure that Dining Services’ organizational structure and controls and the related systems and procedures were conducive to accomplishing its business objectives surrounding non-food purchasing.  Where applicable, compliance with University policies and procedures was also evaluated.  The scope of audit included:</w:t>
      </w:r>
    </w:p>
    <w:p w:rsidR="006D796C" w:rsidRPr="00A517F5" w:rsidRDefault="006D796C" w:rsidP="006D796C">
      <w:pPr>
        <w:overflowPunct w:val="0"/>
        <w:autoSpaceDE w:val="0"/>
        <w:autoSpaceDN w:val="0"/>
        <w:adjustRightInd w:val="0"/>
        <w:spacing w:line="360" w:lineRule="auto"/>
        <w:jc w:val="both"/>
        <w:rPr>
          <w:rFonts w:ascii="Arial" w:hAnsi="Arial" w:cs="Arial"/>
        </w:rPr>
      </w:pPr>
    </w:p>
    <w:p w:rsidR="006D796C" w:rsidRPr="00A517F5" w:rsidRDefault="006D796C" w:rsidP="00066ED7">
      <w:pPr>
        <w:numPr>
          <w:ilvl w:val="0"/>
          <w:numId w:val="2"/>
        </w:numPr>
        <w:overflowPunct w:val="0"/>
        <w:autoSpaceDE w:val="0"/>
        <w:autoSpaceDN w:val="0"/>
        <w:adjustRightInd w:val="0"/>
        <w:spacing w:line="360" w:lineRule="auto"/>
        <w:ind w:left="540" w:hanging="540"/>
        <w:jc w:val="both"/>
        <w:rPr>
          <w:rFonts w:ascii="Arial" w:hAnsi="Arial" w:cs="Arial"/>
        </w:rPr>
      </w:pPr>
      <w:r w:rsidRPr="00A517F5">
        <w:rPr>
          <w:rFonts w:ascii="Arial" w:hAnsi="Arial" w:cs="Arial"/>
        </w:rPr>
        <w:t>Restaurant Purchasing Controls</w:t>
      </w:r>
    </w:p>
    <w:p w:rsidR="006D796C" w:rsidRPr="00A517F5" w:rsidRDefault="006D796C" w:rsidP="00066ED7">
      <w:pPr>
        <w:numPr>
          <w:ilvl w:val="0"/>
          <w:numId w:val="2"/>
        </w:numPr>
        <w:overflowPunct w:val="0"/>
        <w:autoSpaceDE w:val="0"/>
        <w:autoSpaceDN w:val="0"/>
        <w:adjustRightInd w:val="0"/>
        <w:spacing w:line="360" w:lineRule="auto"/>
        <w:ind w:left="540" w:hanging="540"/>
        <w:jc w:val="both"/>
        <w:rPr>
          <w:rFonts w:ascii="Arial" w:hAnsi="Arial" w:cs="Arial"/>
        </w:rPr>
      </w:pPr>
      <w:r w:rsidRPr="00A517F5">
        <w:rPr>
          <w:rFonts w:ascii="Arial" w:hAnsi="Arial" w:cs="Arial"/>
        </w:rPr>
        <w:t>Disbursements</w:t>
      </w:r>
    </w:p>
    <w:p w:rsidR="006D796C" w:rsidRPr="00A517F5" w:rsidRDefault="006D796C" w:rsidP="00066ED7">
      <w:pPr>
        <w:numPr>
          <w:ilvl w:val="0"/>
          <w:numId w:val="2"/>
        </w:numPr>
        <w:overflowPunct w:val="0"/>
        <w:autoSpaceDE w:val="0"/>
        <w:autoSpaceDN w:val="0"/>
        <w:adjustRightInd w:val="0"/>
        <w:spacing w:line="360" w:lineRule="auto"/>
        <w:ind w:left="540" w:hanging="540"/>
        <w:jc w:val="both"/>
        <w:rPr>
          <w:rFonts w:ascii="Arial" w:hAnsi="Arial" w:cs="Arial"/>
        </w:rPr>
      </w:pPr>
      <w:r w:rsidRPr="00A517F5">
        <w:rPr>
          <w:rFonts w:ascii="Arial" w:hAnsi="Arial" w:cs="Arial"/>
        </w:rPr>
        <w:t>Reconciliation and Monitoring</w:t>
      </w:r>
    </w:p>
    <w:p w:rsidR="006D796C" w:rsidRPr="00A517F5" w:rsidRDefault="006D796C" w:rsidP="00066ED7">
      <w:pPr>
        <w:numPr>
          <w:ilvl w:val="0"/>
          <w:numId w:val="2"/>
        </w:numPr>
        <w:overflowPunct w:val="0"/>
        <w:autoSpaceDE w:val="0"/>
        <w:autoSpaceDN w:val="0"/>
        <w:adjustRightInd w:val="0"/>
        <w:spacing w:line="360" w:lineRule="auto"/>
        <w:ind w:left="540" w:hanging="540"/>
        <w:jc w:val="both"/>
        <w:rPr>
          <w:rFonts w:ascii="Arial" w:hAnsi="Arial" w:cs="Arial"/>
        </w:rPr>
      </w:pPr>
      <w:r w:rsidRPr="00A517F5">
        <w:rPr>
          <w:rFonts w:ascii="Arial" w:hAnsi="Arial" w:cs="Arial"/>
        </w:rPr>
        <w:t>Accountability Structure</w:t>
      </w:r>
    </w:p>
    <w:p w:rsidR="006D796C" w:rsidRPr="00A517F5" w:rsidRDefault="006D796C" w:rsidP="00066ED7">
      <w:pPr>
        <w:numPr>
          <w:ilvl w:val="0"/>
          <w:numId w:val="2"/>
        </w:numPr>
        <w:overflowPunct w:val="0"/>
        <w:autoSpaceDE w:val="0"/>
        <w:autoSpaceDN w:val="0"/>
        <w:adjustRightInd w:val="0"/>
        <w:spacing w:line="360" w:lineRule="auto"/>
        <w:ind w:left="540" w:hanging="540"/>
        <w:jc w:val="both"/>
        <w:rPr>
          <w:rFonts w:ascii="Arial" w:hAnsi="Arial" w:cs="Arial"/>
        </w:rPr>
      </w:pPr>
      <w:r w:rsidRPr="00A517F5">
        <w:rPr>
          <w:rFonts w:ascii="Arial" w:hAnsi="Arial" w:cs="Arial"/>
        </w:rPr>
        <w:t>Non-Inventorial Theft Sensitive Purchases</w:t>
      </w:r>
    </w:p>
    <w:p w:rsidR="006D796C" w:rsidRPr="00A517F5" w:rsidRDefault="006D796C" w:rsidP="006D796C">
      <w:pPr>
        <w:overflowPunct w:val="0"/>
        <w:autoSpaceDE w:val="0"/>
        <w:autoSpaceDN w:val="0"/>
        <w:adjustRightInd w:val="0"/>
        <w:spacing w:line="360" w:lineRule="auto"/>
        <w:jc w:val="both"/>
        <w:rPr>
          <w:rFonts w:ascii="Arial" w:hAnsi="Arial" w:cs="Arial"/>
        </w:rPr>
      </w:pP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r w:rsidRPr="00A517F5">
        <w:rPr>
          <w:rFonts w:ascii="Arial" w:hAnsi="Arial" w:cs="Arial"/>
        </w:rPr>
        <w:t xml:space="preserve">The review was conducted in conformance with the </w:t>
      </w:r>
      <w:r w:rsidRPr="00A517F5">
        <w:rPr>
          <w:rFonts w:ascii="Arial" w:hAnsi="Arial" w:cs="Arial"/>
          <w:i/>
        </w:rPr>
        <w:t>International Standards for the Professional Practice of Internal Auditing</w:t>
      </w:r>
      <w:r w:rsidRPr="00A517F5">
        <w:rPr>
          <w:rFonts w:ascii="Arial" w:hAnsi="Arial" w:cs="Arial"/>
        </w:rPr>
        <w:t xml:space="preserve"> and included tests of records, interviews, and other procedures considered necessary to achieve the audit purpose.</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keepNext/>
        <w:overflowPunct w:val="0"/>
        <w:autoSpaceDE w:val="0"/>
        <w:autoSpaceDN w:val="0"/>
        <w:adjustRightInd w:val="0"/>
        <w:spacing w:line="360" w:lineRule="auto"/>
        <w:jc w:val="both"/>
        <w:textAlignment w:val="baseline"/>
        <w:rPr>
          <w:rFonts w:ascii="Arial" w:hAnsi="Arial" w:cs="Arial"/>
          <w:u w:val="single"/>
        </w:rPr>
      </w:pPr>
      <w:r w:rsidRPr="00A517F5">
        <w:rPr>
          <w:rFonts w:ascii="Arial" w:hAnsi="Arial" w:cs="Arial"/>
          <w:u w:val="single"/>
        </w:rPr>
        <w:t>Summary Opinion</w:t>
      </w:r>
    </w:p>
    <w:p w:rsidR="006D796C" w:rsidRPr="00A517F5" w:rsidRDefault="006D796C" w:rsidP="006D796C">
      <w:pPr>
        <w:keepNext/>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r w:rsidRPr="00A517F5">
        <w:rPr>
          <w:rFonts w:ascii="Arial" w:hAnsi="Arial" w:cs="Arial"/>
        </w:rPr>
        <w:t>Based on the results of the work performed within the scope of the audit, internal controls over the key areas examined were generally conducive to accomplishing the department’s business objectives.  However, controls and business practices could be further strengthened by implementing the following:</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numPr>
          <w:ilvl w:val="0"/>
          <w:numId w:val="1"/>
        </w:numPr>
        <w:overflowPunct w:val="0"/>
        <w:autoSpaceDE w:val="0"/>
        <w:autoSpaceDN w:val="0"/>
        <w:adjustRightInd w:val="0"/>
        <w:spacing w:line="360" w:lineRule="auto"/>
        <w:ind w:left="540" w:hanging="540"/>
        <w:jc w:val="both"/>
        <w:textAlignment w:val="baseline"/>
        <w:rPr>
          <w:rFonts w:ascii="Arial" w:hAnsi="Arial"/>
          <w:szCs w:val="20"/>
        </w:rPr>
      </w:pPr>
      <w:r w:rsidRPr="00A517F5">
        <w:rPr>
          <w:rFonts w:ascii="Arial" w:hAnsi="Arial" w:cs="Arial"/>
        </w:rPr>
        <w:t>Ensure that all invoices are properly approved and documented (i.e., signed and dated) before being processed for payment.</w:t>
      </w:r>
    </w:p>
    <w:p w:rsidR="006D796C" w:rsidRPr="00A517F5" w:rsidRDefault="006D796C" w:rsidP="006D796C">
      <w:pPr>
        <w:numPr>
          <w:ilvl w:val="0"/>
          <w:numId w:val="1"/>
        </w:numPr>
        <w:overflowPunct w:val="0"/>
        <w:autoSpaceDE w:val="0"/>
        <w:autoSpaceDN w:val="0"/>
        <w:adjustRightInd w:val="0"/>
        <w:spacing w:line="360" w:lineRule="auto"/>
        <w:ind w:left="540" w:hanging="540"/>
        <w:jc w:val="both"/>
        <w:textAlignment w:val="baseline"/>
        <w:rPr>
          <w:rFonts w:ascii="Arial" w:hAnsi="Arial"/>
          <w:szCs w:val="20"/>
        </w:rPr>
      </w:pPr>
      <w:r w:rsidRPr="00A517F5">
        <w:rPr>
          <w:rFonts w:ascii="Arial" w:hAnsi="Arial" w:cs="Arial"/>
        </w:rPr>
        <w:t>Monitor the department’s blanket agreements and anticipate the need for additional funds to minimize the unnecessary use of LVOs to purchase goods.  Management should also improve compliance with University policies and procedures by working with Campus Purchasing for the procurement items that require a requisition.</w:t>
      </w:r>
    </w:p>
    <w:p w:rsidR="006D796C" w:rsidRPr="00A517F5" w:rsidRDefault="006D796C" w:rsidP="006D796C">
      <w:pPr>
        <w:numPr>
          <w:ilvl w:val="0"/>
          <w:numId w:val="1"/>
        </w:numPr>
        <w:overflowPunct w:val="0"/>
        <w:autoSpaceDE w:val="0"/>
        <w:autoSpaceDN w:val="0"/>
        <w:adjustRightInd w:val="0"/>
        <w:spacing w:line="360" w:lineRule="auto"/>
        <w:ind w:left="540" w:hanging="540"/>
        <w:jc w:val="both"/>
        <w:textAlignment w:val="baseline"/>
        <w:rPr>
          <w:rFonts w:ascii="Arial" w:hAnsi="Arial"/>
          <w:szCs w:val="20"/>
        </w:rPr>
      </w:pPr>
      <w:r w:rsidRPr="00A517F5">
        <w:rPr>
          <w:rFonts w:ascii="Arial" w:hAnsi="Arial" w:cs="Arial"/>
        </w:rPr>
        <w:t xml:space="preserve">Re-emphasize with all mandatory reviewers the need for the timely review of </w:t>
      </w:r>
      <w:r w:rsidR="00BE2558">
        <w:rPr>
          <w:rFonts w:ascii="Arial" w:hAnsi="Arial" w:cs="Arial"/>
        </w:rPr>
        <w:t>Post Authorization Notices (</w:t>
      </w:r>
      <w:r w:rsidRPr="00A517F5">
        <w:rPr>
          <w:rFonts w:ascii="Arial" w:hAnsi="Arial" w:cs="Arial"/>
        </w:rPr>
        <w:t>PANs</w:t>
      </w:r>
      <w:r w:rsidR="00BE2558">
        <w:rPr>
          <w:rFonts w:ascii="Arial" w:hAnsi="Arial" w:cs="Arial"/>
        </w:rPr>
        <w:t>)</w:t>
      </w:r>
      <w:r w:rsidRPr="00A517F5">
        <w:rPr>
          <w:rFonts w:ascii="Arial" w:hAnsi="Arial" w:cs="Arial"/>
        </w:rPr>
        <w:t>.</w:t>
      </w:r>
    </w:p>
    <w:p w:rsidR="006D796C" w:rsidRPr="00A517F5" w:rsidRDefault="006D796C" w:rsidP="006D796C">
      <w:pPr>
        <w:numPr>
          <w:ilvl w:val="0"/>
          <w:numId w:val="1"/>
        </w:numPr>
        <w:overflowPunct w:val="0"/>
        <w:autoSpaceDE w:val="0"/>
        <w:autoSpaceDN w:val="0"/>
        <w:adjustRightInd w:val="0"/>
        <w:spacing w:line="360" w:lineRule="auto"/>
        <w:ind w:left="540" w:hanging="540"/>
        <w:jc w:val="both"/>
        <w:textAlignment w:val="baseline"/>
        <w:rPr>
          <w:rFonts w:ascii="Arial" w:hAnsi="Arial"/>
          <w:szCs w:val="20"/>
        </w:rPr>
      </w:pPr>
      <w:r w:rsidRPr="00A517F5">
        <w:rPr>
          <w:rFonts w:ascii="Arial" w:hAnsi="Arial" w:cs="Arial"/>
        </w:rPr>
        <w:t>Ensure that all expenses that have been incurred as of June 30th are properly reported.</w:t>
      </w:r>
    </w:p>
    <w:p w:rsidR="006D796C" w:rsidRPr="00A517F5" w:rsidRDefault="006D796C" w:rsidP="006D796C">
      <w:pPr>
        <w:numPr>
          <w:ilvl w:val="0"/>
          <w:numId w:val="1"/>
        </w:numPr>
        <w:overflowPunct w:val="0"/>
        <w:autoSpaceDE w:val="0"/>
        <w:autoSpaceDN w:val="0"/>
        <w:adjustRightInd w:val="0"/>
        <w:spacing w:line="360" w:lineRule="auto"/>
        <w:ind w:left="540" w:hanging="540"/>
        <w:jc w:val="both"/>
        <w:textAlignment w:val="baseline"/>
        <w:rPr>
          <w:rFonts w:ascii="Arial" w:hAnsi="Arial"/>
          <w:szCs w:val="20"/>
        </w:rPr>
      </w:pPr>
      <w:r w:rsidRPr="00A517F5">
        <w:rPr>
          <w:rFonts w:ascii="Arial" w:hAnsi="Arial" w:cs="Arial"/>
        </w:rPr>
        <w:t>Periodically review the department's accountability structure to ensure that it is accurate, current, and in compliance with the UCLA Financial Policy.</w:t>
      </w:r>
    </w:p>
    <w:p w:rsidR="006D796C" w:rsidRPr="00A517F5" w:rsidRDefault="006D796C" w:rsidP="006D796C">
      <w:pPr>
        <w:overflowPunct w:val="0"/>
        <w:autoSpaceDE w:val="0"/>
        <w:autoSpaceDN w:val="0"/>
        <w:adjustRightInd w:val="0"/>
        <w:spacing w:line="360" w:lineRule="auto"/>
        <w:jc w:val="both"/>
        <w:textAlignment w:val="baseline"/>
        <w:rPr>
          <w:rFonts w:ascii="Arial" w:hAnsi="Arial"/>
          <w:szCs w:val="20"/>
        </w:rPr>
      </w:pP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r w:rsidRPr="00A517F5">
        <w:rPr>
          <w:rFonts w:ascii="Arial" w:hAnsi="Arial" w:cs="Arial"/>
        </w:rPr>
        <w:t>The audit results and corresponding recommendations are detailed in the following sections of the report.</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u w:val="single"/>
        </w:rPr>
      </w:pPr>
      <w:r w:rsidRPr="00A517F5">
        <w:rPr>
          <w:rFonts w:ascii="Arial" w:hAnsi="Arial" w:cs="Arial"/>
        </w:rPr>
        <w:br w:type="page"/>
      </w:r>
      <w:r w:rsidRPr="00A517F5">
        <w:rPr>
          <w:rFonts w:ascii="Arial" w:hAnsi="Arial" w:cs="Arial"/>
          <w:u w:val="single"/>
        </w:rPr>
        <w:t>Audit Results and Recommendations</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center"/>
        <w:textAlignment w:val="baseline"/>
        <w:rPr>
          <w:rFonts w:ascii="Arial" w:hAnsi="Arial" w:cs="Arial"/>
          <w:u w:val="single"/>
        </w:rPr>
      </w:pPr>
      <w:r w:rsidRPr="00A517F5">
        <w:rPr>
          <w:rFonts w:ascii="Arial" w:hAnsi="Arial" w:cs="Arial"/>
          <w:u w:val="single"/>
        </w:rPr>
        <w:t>Restaurant Purchasing Controls</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r w:rsidRPr="00A517F5">
        <w:rPr>
          <w:rFonts w:ascii="Arial" w:hAnsi="Arial" w:cs="Arial"/>
        </w:rPr>
        <w:t>A&amp;AS conducted interviews with the seven general managers over each of the restaurants to determine if controls over non-food purchasing were adequate.  The general managers discussed purchase requests, vendor selection, ordering, receiving, invoice approvals, and reconciliations/monitoring.  Controls over non-food purchasing appeared to be adequate in the 11 restaurants covered.</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spacing w:line="360" w:lineRule="auto"/>
        <w:jc w:val="both"/>
        <w:rPr>
          <w:rFonts w:ascii="Arial" w:hAnsi="Arial"/>
          <w:szCs w:val="20"/>
        </w:rPr>
      </w:pPr>
      <w:r w:rsidRPr="00A517F5">
        <w:rPr>
          <w:rFonts w:ascii="Arial" w:hAnsi="Arial"/>
          <w:szCs w:val="20"/>
        </w:rPr>
        <w:t>There were no significant control weaknesses noted in this area.</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center"/>
        <w:textAlignment w:val="baseline"/>
        <w:rPr>
          <w:rFonts w:ascii="Arial" w:hAnsi="Arial" w:cs="Arial"/>
          <w:u w:val="single"/>
        </w:rPr>
      </w:pPr>
      <w:r w:rsidRPr="00A517F5">
        <w:rPr>
          <w:rFonts w:ascii="Arial" w:hAnsi="Arial" w:cs="Arial"/>
          <w:u w:val="single"/>
        </w:rPr>
        <w:t>Disbursements</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r w:rsidRPr="00A517F5">
        <w:rPr>
          <w:rFonts w:ascii="Arial" w:hAnsi="Arial" w:cs="Arial"/>
        </w:rPr>
        <w:t>A&amp;AS obtained the July 1, 2014, to June 30, 2015, Detail General Ledgers for the following accounts (Table 1):</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center"/>
        <w:textAlignment w:val="baseline"/>
        <w:rPr>
          <w:rFonts w:ascii="Arial" w:hAnsi="Arial" w:cs="Arial"/>
          <w:b/>
          <w:u w:val="single"/>
        </w:rPr>
      </w:pPr>
      <w:r w:rsidRPr="00A517F5">
        <w:rPr>
          <w:rFonts w:ascii="Arial" w:hAnsi="Arial" w:cs="Arial"/>
          <w:b/>
          <w:u w:val="single"/>
        </w:rPr>
        <w:t>Table 1</w:t>
      </w:r>
    </w:p>
    <w:p w:rsidR="006D796C" w:rsidRPr="00A517F5" w:rsidRDefault="006D796C" w:rsidP="006D796C">
      <w:pPr>
        <w:overflowPunct w:val="0"/>
        <w:autoSpaceDE w:val="0"/>
        <w:autoSpaceDN w:val="0"/>
        <w:adjustRightInd w:val="0"/>
        <w:spacing w:line="360" w:lineRule="auto"/>
        <w:jc w:val="center"/>
        <w:textAlignment w:val="baseline"/>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2843"/>
        <w:gridCol w:w="3229"/>
      </w:tblGrid>
      <w:tr w:rsidR="006D796C" w:rsidRPr="00A517F5" w:rsidTr="00066ED7">
        <w:trPr>
          <w:jc w:val="center"/>
        </w:trPr>
        <w:tc>
          <w:tcPr>
            <w:tcW w:w="0" w:type="auto"/>
            <w:vAlign w:val="center"/>
            <w:hideMark/>
          </w:tcPr>
          <w:p w:rsidR="006D796C" w:rsidRPr="00A517F5" w:rsidRDefault="006D796C" w:rsidP="00066ED7">
            <w:pPr>
              <w:spacing w:line="360" w:lineRule="auto"/>
              <w:rPr>
                <w:rFonts w:ascii="Arial" w:hAnsi="Arial" w:cs="Arial"/>
                <w:b/>
                <w:u w:val="single"/>
              </w:rPr>
            </w:pPr>
            <w:r w:rsidRPr="00A517F5">
              <w:rPr>
                <w:rFonts w:ascii="Arial" w:hAnsi="Arial" w:cs="Arial"/>
                <w:b/>
                <w:u w:val="single"/>
              </w:rPr>
              <w:t>Account Name</w:t>
            </w:r>
          </w:p>
        </w:tc>
        <w:tc>
          <w:tcPr>
            <w:tcW w:w="0" w:type="auto"/>
            <w:vAlign w:val="center"/>
            <w:hideMark/>
          </w:tcPr>
          <w:p w:rsidR="006D796C" w:rsidRPr="00A517F5" w:rsidRDefault="006D796C" w:rsidP="00066ED7">
            <w:pPr>
              <w:spacing w:line="360" w:lineRule="auto"/>
              <w:jc w:val="center"/>
              <w:rPr>
                <w:rFonts w:ascii="Arial" w:hAnsi="Arial" w:cs="Arial"/>
                <w:b/>
                <w:u w:val="single"/>
              </w:rPr>
            </w:pPr>
            <w:r w:rsidRPr="00A517F5">
              <w:rPr>
                <w:rFonts w:ascii="Arial" w:hAnsi="Arial" w:cs="Arial"/>
                <w:b/>
                <w:u w:val="single"/>
              </w:rPr>
              <w:t>Admin Account – Fund</w:t>
            </w:r>
          </w:p>
        </w:tc>
        <w:tc>
          <w:tcPr>
            <w:tcW w:w="0" w:type="auto"/>
          </w:tcPr>
          <w:p w:rsidR="006D796C" w:rsidRPr="00A517F5" w:rsidRDefault="006D796C" w:rsidP="00066ED7">
            <w:pPr>
              <w:spacing w:line="360" w:lineRule="auto"/>
              <w:jc w:val="center"/>
              <w:rPr>
                <w:rFonts w:ascii="Arial" w:hAnsi="Arial" w:cs="Arial"/>
                <w:b/>
                <w:u w:val="single"/>
              </w:rPr>
            </w:pPr>
            <w:r w:rsidRPr="00A517F5">
              <w:rPr>
                <w:rFonts w:ascii="Arial" w:hAnsi="Arial" w:cs="Arial"/>
                <w:b/>
                <w:u w:val="single"/>
              </w:rPr>
              <w:t xml:space="preserve">Non-Food Account – Fund </w:t>
            </w:r>
          </w:p>
        </w:tc>
      </w:tr>
      <w:tr w:rsidR="006D796C" w:rsidRPr="00A517F5" w:rsidTr="00066ED7">
        <w:trPr>
          <w:jc w:val="center"/>
        </w:trPr>
        <w:tc>
          <w:tcPr>
            <w:tcW w:w="0" w:type="auto"/>
            <w:vAlign w:val="center"/>
            <w:hideMark/>
          </w:tcPr>
          <w:p w:rsidR="006D796C" w:rsidRPr="00A517F5" w:rsidRDefault="006D796C" w:rsidP="00066ED7">
            <w:pPr>
              <w:spacing w:line="360" w:lineRule="auto"/>
              <w:rPr>
                <w:rFonts w:ascii="Arial" w:hAnsi="Arial" w:cs="Arial"/>
              </w:rPr>
            </w:pPr>
            <w:r w:rsidRPr="00A517F5">
              <w:rPr>
                <w:rFonts w:ascii="Arial" w:hAnsi="Arial" w:cs="Arial"/>
              </w:rPr>
              <w:t>Bruin Café</w:t>
            </w:r>
          </w:p>
        </w:tc>
        <w:tc>
          <w:tcPr>
            <w:tcW w:w="0" w:type="auto"/>
          </w:tcPr>
          <w:p w:rsidR="006D796C" w:rsidRPr="00A517F5" w:rsidRDefault="006D796C" w:rsidP="00066ED7">
            <w:pPr>
              <w:jc w:val="center"/>
              <w:rPr>
                <w:rFonts w:ascii="Arial" w:hAnsi="Arial" w:cs="Arial"/>
              </w:rPr>
            </w:pPr>
            <w:r w:rsidRPr="00A517F5">
              <w:rPr>
                <w:rFonts w:ascii="Arial" w:hAnsi="Arial" w:cs="Arial"/>
              </w:rPr>
              <w:t xml:space="preserve">761021-70015 </w:t>
            </w:r>
          </w:p>
        </w:tc>
        <w:tc>
          <w:tcPr>
            <w:tcW w:w="0" w:type="auto"/>
          </w:tcPr>
          <w:p w:rsidR="006D796C" w:rsidRPr="00A517F5" w:rsidRDefault="006D796C" w:rsidP="00066ED7">
            <w:pPr>
              <w:jc w:val="center"/>
              <w:rPr>
                <w:rFonts w:ascii="Arial" w:hAnsi="Arial" w:cs="Arial"/>
              </w:rPr>
            </w:pPr>
            <w:r w:rsidRPr="00A517F5">
              <w:rPr>
                <w:rFonts w:ascii="Arial" w:hAnsi="Arial" w:cs="Arial"/>
              </w:rPr>
              <w:t>761026-70015</w:t>
            </w:r>
          </w:p>
        </w:tc>
      </w:tr>
      <w:tr w:rsidR="006D796C" w:rsidRPr="00A517F5" w:rsidTr="00066ED7">
        <w:trPr>
          <w:jc w:val="center"/>
        </w:trPr>
        <w:tc>
          <w:tcPr>
            <w:tcW w:w="0" w:type="auto"/>
            <w:vAlign w:val="center"/>
            <w:hideMark/>
          </w:tcPr>
          <w:p w:rsidR="006D796C" w:rsidRPr="00A517F5" w:rsidRDefault="006D796C" w:rsidP="00066ED7">
            <w:pPr>
              <w:spacing w:line="360" w:lineRule="auto"/>
              <w:rPr>
                <w:rFonts w:ascii="Arial" w:hAnsi="Arial" w:cs="Arial"/>
              </w:rPr>
            </w:pPr>
            <w:r w:rsidRPr="00A517F5">
              <w:rPr>
                <w:rFonts w:ascii="Arial" w:hAnsi="Arial" w:cs="Arial"/>
              </w:rPr>
              <w:t>Bruin Plate</w:t>
            </w:r>
          </w:p>
        </w:tc>
        <w:tc>
          <w:tcPr>
            <w:tcW w:w="0" w:type="auto"/>
          </w:tcPr>
          <w:p w:rsidR="006D796C" w:rsidRPr="00A517F5" w:rsidRDefault="006D796C" w:rsidP="00066ED7">
            <w:pPr>
              <w:jc w:val="center"/>
              <w:rPr>
                <w:rFonts w:ascii="Arial" w:hAnsi="Arial" w:cs="Arial"/>
              </w:rPr>
            </w:pPr>
            <w:r w:rsidRPr="00A517F5">
              <w:rPr>
                <w:rFonts w:ascii="Arial" w:hAnsi="Arial" w:cs="Arial"/>
              </w:rPr>
              <w:t xml:space="preserve">760821-70015 </w:t>
            </w:r>
          </w:p>
        </w:tc>
        <w:tc>
          <w:tcPr>
            <w:tcW w:w="0" w:type="auto"/>
          </w:tcPr>
          <w:p w:rsidR="006D796C" w:rsidRPr="00A517F5" w:rsidRDefault="006D796C" w:rsidP="00066ED7">
            <w:pPr>
              <w:jc w:val="center"/>
              <w:rPr>
                <w:rFonts w:ascii="Arial" w:hAnsi="Arial" w:cs="Arial"/>
              </w:rPr>
            </w:pPr>
            <w:r w:rsidRPr="00A517F5">
              <w:rPr>
                <w:rFonts w:ascii="Arial" w:hAnsi="Arial" w:cs="Arial"/>
              </w:rPr>
              <w:t>760826-70015</w:t>
            </w:r>
          </w:p>
        </w:tc>
      </w:tr>
      <w:tr w:rsidR="006D796C" w:rsidRPr="00A517F5" w:rsidTr="00066ED7">
        <w:trPr>
          <w:jc w:val="center"/>
        </w:trPr>
        <w:tc>
          <w:tcPr>
            <w:tcW w:w="0" w:type="auto"/>
            <w:vAlign w:val="center"/>
            <w:hideMark/>
          </w:tcPr>
          <w:p w:rsidR="006D796C" w:rsidRPr="00A517F5" w:rsidRDefault="006D796C" w:rsidP="00066ED7">
            <w:pPr>
              <w:spacing w:line="360" w:lineRule="auto"/>
              <w:rPr>
                <w:rFonts w:ascii="Arial" w:hAnsi="Arial" w:cs="Arial"/>
              </w:rPr>
            </w:pPr>
            <w:r w:rsidRPr="00A517F5">
              <w:rPr>
                <w:rFonts w:ascii="Arial" w:hAnsi="Arial" w:cs="Arial"/>
              </w:rPr>
              <w:t>Café 1919</w:t>
            </w:r>
          </w:p>
        </w:tc>
        <w:tc>
          <w:tcPr>
            <w:tcW w:w="0" w:type="auto"/>
          </w:tcPr>
          <w:p w:rsidR="006D796C" w:rsidRPr="00A517F5" w:rsidRDefault="006D796C" w:rsidP="00066ED7">
            <w:pPr>
              <w:jc w:val="center"/>
              <w:rPr>
                <w:rFonts w:ascii="Arial" w:hAnsi="Arial" w:cs="Arial"/>
              </w:rPr>
            </w:pPr>
            <w:r w:rsidRPr="00A517F5">
              <w:rPr>
                <w:rFonts w:ascii="Arial" w:hAnsi="Arial" w:cs="Arial"/>
              </w:rPr>
              <w:t>766701-70031</w:t>
            </w:r>
          </w:p>
        </w:tc>
        <w:tc>
          <w:tcPr>
            <w:tcW w:w="0" w:type="auto"/>
          </w:tcPr>
          <w:p w:rsidR="006D796C" w:rsidRPr="00A517F5" w:rsidRDefault="006D796C" w:rsidP="00066ED7">
            <w:pPr>
              <w:jc w:val="center"/>
              <w:rPr>
                <w:rFonts w:ascii="Arial" w:hAnsi="Arial" w:cs="Arial"/>
              </w:rPr>
            </w:pPr>
            <w:r w:rsidRPr="00A517F5">
              <w:rPr>
                <w:rFonts w:ascii="Arial" w:hAnsi="Arial" w:cs="Arial"/>
              </w:rPr>
              <w:t>766729-70031</w:t>
            </w:r>
          </w:p>
        </w:tc>
      </w:tr>
      <w:tr w:rsidR="006D796C" w:rsidRPr="00A517F5" w:rsidTr="00066ED7">
        <w:trPr>
          <w:jc w:val="center"/>
        </w:trPr>
        <w:tc>
          <w:tcPr>
            <w:tcW w:w="0" w:type="auto"/>
            <w:vAlign w:val="center"/>
            <w:hideMark/>
          </w:tcPr>
          <w:p w:rsidR="006D796C" w:rsidRPr="00A517F5" w:rsidRDefault="006D796C" w:rsidP="00066ED7">
            <w:pPr>
              <w:spacing w:line="360" w:lineRule="auto"/>
              <w:rPr>
                <w:rFonts w:ascii="Arial" w:hAnsi="Arial" w:cs="Arial"/>
              </w:rPr>
            </w:pPr>
            <w:r w:rsidRPr="00A517F5">
              <w:rPr>
                <w:rFonts w:ascii="Arial" w:hAnsi="Arial" w:cs="Arial"/>
              </w:rPr>
              <w:t>Covel</w:t>
            </w:r>
          </w:p>
        </w:tc>
        <w:tc>
          <w:tcPr>
            <w:tcW w:w="0" w:type="auto"/>
          </w:tcPr>
          <w:p w:rsidR="006D796C" w:rsidRPr="00A517F5" w:rsidRDefault="006D796C" w:rsidP="00066ED7">
            <w:pPr>
              <w:jc w:val="center"/>
              <w:rPr>
                <w:rFonts w:ascii="Arial" w:hAnsi="Arial" w:cs="Arial"/>
              </w:rPr>
            </w:pPr>
            <w:r w:rsidRPr="00A517F5">
              <w:rPr>
                <w:rFonts w:ascii="Arial" w:hAnsi="Arial" w:cs="Arial"/>
              </w:rPr>
              <w:t xml:space="preserve">766521-70031 </w:t>
            </w:r>
          </w:p>
        </w:tc>
        <w:tc>
          <w:tcPr>
            <w:tcW w:w="0" w:type="auto"/>
          </w:tcPr>
          <w:p w:rsidR="006D796C" w:rsidRPr="00A517F5" w:rsidRDefault="006D796C" w:rsidP="00066ED7">
            <w:pPr>
              <w:jc w:val="center"/>
              <w:rPr>
                <w:rFonts w:ascii="Arial" w:hAnsi="Arial" w:cs="Arial"/>
              </w:rPr>
            </w:pPr>
            <w:r w:rsidRPr="00A517F5">
              <w:rPr>
                <w:rFonts w:ascii="Arial" w:hAnsi="Arial" w:cs="Arial"/>
              </w:rPr>
              <w:t xml:space="preserve">766526-70031 </w:t>
            </w:r>
          </w:p>
        </w:tc>
      </w:tr>
      <w:tr w:rsidR="006D796C" w:rsidRPr="00A517F5" w:rsidTr="00066ED7">
        <w:trPr>
          <w:jc w:val="center"/>
        </w:trPr>
        <w:tc>
          <w:tcPr>
            <w:tcW w:w="0" w:type="auto"/>
            <w:vAlign w:val="center"/>
            <w:hideMark/>
          </w:tcPr>
          <w:p w:rsidR="006D796C" w:rsidRPr="00A517F5" w:rsidRDefault="006D796C" w:rsidP="00066ED7">
            <w:pPr>
              <w:spacing w:line="360" w:lineRule="auto"/>
              <w:rPr>
                <w:rFonts w:ascii="Arial" w:hAnsi="Arial" w:cs="Arial"/>
              </w:rPr>
            </w:pPr>
            <w:r w:rsidRPr="00A517F5">
              <w:rPr>
                <w:rFonts w:ascii="Arial" w:hAnsi="Arial" w:cs="Arial"/>
              </w:rPr>
              <w:t>DeNeve Commissary</w:t>
            </w:r>
          </w:p>
        </w:tc>
        <w:tc>
          <w:tcPr>
            <w:tcW w:w="0" w:type="auto"/>
          </w:tcPr>
          <w:p w:rsidR="006D796C" w:rsidRPr="00A517F5" w:rsidRDefault="006D796C" w:rsidP="00066ED7">
            <w:pPr>
              <w:jc w:val="center"/>
              <w:rPr>
                <w:rFonts w:ascii="Arial" w:hAnsi="Arial" w:cs="Arial"/>
              </w:rPr>
            </w:pPr>
            <w:r w:rsidRPr="00A517F5">
              <w:rPr>
                <w:rFonts w:ascii="Arial" w:hAnsi="Arial" w:cs="Arial"/>
              </w:rPr>
              <w:t xml:space="preserve">768121-70005 </w:t>
            </w:r>
          </w:p>
        </w:tc>
        <w:tc>
          <w:tcPr>
            <w:tcW w:w="0" w:type="auto"/>
          </w:tcPr>
          <w:p w:rsidR="006D796C" w:rsidRPr="00A517F5" w:rsidRDefault="006D796C" w:rsidP="00066ED7">
            <w:pPr>
              <w:jc w:val="center"/>
              <w:rPr>
                <w:rFonts w:ascii="Arial" w:hAnsi="Arial" w:cs="Arial"/>
              </w:rPr>
            </w:pPr>
            <w:r w:rsidRPr="00A517F5">
              <w:rPr>
                <w:rFonts w:ascii="Arial" w:hAnsi="Arial" w:cs="Arial"/>
              </w:rPr>
              <w:t>768126-70005</w:t>
            </w:r>
          </w:p>
        </w:tc>
      </w:tr>
      <w:tr w:rsidR="006D796C" w:rsidRPr="00A517F5" w:rsidTr="00066ED7">
        <w:trPr>
          <w:jc w:val="center"/>
        </w:trPr>
        <w:tc>
          <w:tcPr>
            <w:tcW w:w="0" w:type="auto"/>
            <w:vAlign w:val="center"/>
            <w:hideMark/>
          </w:tcPr>
          <w:p w:rsidR="006D796C" w:rsidRPr="00A517F5" w:rsidRDefault="006D796C" w:rsidP="00066ED7">
            <w:pPr>
              <w:spacing w:line="360" w:lineRule="auto"/>
              <w:rPr>
                <w:rFonts w:ascii="Arial" w:hAnsi="Arial" w:cs="Arial"/>
              </w:rPr>
            </w:pPr>
            <w:r w:rsidRPr="00A517F5">
              <w:rPr>
                <w:rFonts w:ascii="Arial" w:hAnsi="Arial" w:cs="Arial"/>
              </w:rPr>
              <w:t xml:space="preserve">DeNeve Dining </w:t>
            </w:r>
          </w:p>
        </w:tc>
        <w:tc>
          <w:tcPr>
            <w:tcW w:w="0" w:type="auto"/>
          </w:tcPr>
          <w:p w:rsidR="006D796C" w:rsidRPr="00A517F5" w:rsidRDefault="006D796C" w:rsidP="00066ED7">
            <w:pPr>
              <w:jc w:val="center"/>
              <w:rPr>
                <w:rFonts w:ascii="Arial" w:hAnsi="Arial" w:cs="Arial"/>
              </w:rPr>
            </w:pPr>
            <w:r w:rsidRPr="00A517F5">
              <w:rPr>
                <w:rFonts w:ascii="Arial" w:hAnsi="Arial" w:cs="Arial"/>
              </w:rPr>
              <w:t xml:space="preserve">760621-70005 </w:t>
            </w:r>
          </w:p>
        </w:tc>
        <w:tc>
          <w:tcPr>
            <w:tcW w:w="0" w:type="auto"/>
          </w:tcPr>
          <w:p w:rsidR="006D796C" w:rsidRPr="00A517F5" w:rsidRDefault="006D796C" w:rsidP="00066ED7">
            <w:pPr>
              <w:jc w:val="center"/>
              <w:rPr>
                <w:rFonts w:ascii="Arial" w:hAnsi="Arial" w:cs="Arial"/>
              </w:rPr>
            </w:pPr>
            <w:r w:rsidRPr="00A517F5">
              <w:rPr>
                <w:rFonts w:ascii="Arial" w:hAnsi="Arial" w:cs="Arial"/>
              </w:rPr>
              <w:t>760626-70005</w:t>
            </w:r>
          </w:p>
        </w:tc>
      </w:tr>
      <w:tr w:rsidR="006D796C" w:rsidRPr="00A517F5" w:rsidTr="00066ED7">
        <w:trPr>
          <w:jc w:val="center"/>
        </w:trPr>
        <w:tc>
          <w:tcPr>
            <w:tcW w:w="0" w:type="auto"/>
            <w:vAlign w:val="center"/>
            <w:hideMark/>
          </w:tcPr>
          <w:p w:rsidR="006D796C" w:rsidRPr="00A517F5" w:rsidRDefault="006D796C" w:rsidP="00066ED7">
            <w:pPr>
              <w:spacing w:line="360" w:lineRule="auto"/>
              <w:rPr>
                <w:rFonts w:ascii="Arial" w:hAnsi="Arial" w:cs="Arial"/>
              </w:rPr>
            </w:pPr>
            <w:r w:rsidRPr="00A517F5">
              <w:rPr>
                <w:rFonts w:ascii="Arial" w:hAnsi="Arial" w:cs="Arial"/>
              </w:rPr>
              <w:t>DeNeve Lunch on the Go</w:t>
            </w:r>
          </w:p>
        </w:tc>
        <w:tc>
          <w:tcPr>
            <w:tcW w:w="0" w:type="auto"/>
          </w:tcPr>
          <w:p w:rsidR="006D796C" w:rsidRPr="00A517F5" w:rsidRDefault="006D796C" w:rsidP="00066ED7">
            <w:pPr>
              <w:jc w:val="center"/>
              <w:rPr>
                <w:rFonts w:ascii="Arial" w:hAnsi="Arial" w:cs="Arial"/>
              </w:rPr>
            </w:pPr>
            <w:r w:rsidRPr="00A517F5">
              <w:rPr>
                <w:rFonts w:ascii="Arial" w:hAnsi="Arial" w:cs="Arial"/>
              </w:rPr>
              <w:t xml:space="preserve">768321-70005 </w:t>
            </w:r>
          </w:p>
        </w:tc>
        <w:tc>
          <w:tcPr>
            <w:tcW w:w="0" w:type="auto"/>
          </w:tcPr>
          <w:p w:rsidR="006D796C" w:rsidRPr="00A517F5" w:rsidRDefault="006D796C" w:rsidP="00066ED7">
            <w:pPr>
              <w:jc w:val="center"/>
              <w:rPr>
                <w:rFonts w:ascii="Arial" w:hAnsi="Arial" w:cs="Arial"/>
              </w:rPr>
            </w:pPr>
            <w:r w:rsidRPr="00A517F5">
              <w:rPr>
                <w:rFonts w:ascii="Arial" w:hAnsi="Arial" w:cs="Arial"/>
              </w:rPr>
              <w:t>768326-70005</w:t>
            </w:r>
          </w:p>
        </w:tc>
      </w:tr>
      <w:tr w:rsidR="006D796C" w:rsidRPr="00A517F5" w:rsidTr="00066ED7">
        <w:trPr>
          <w:jc w:val="center"/>
        </w:trPr>
        <w:tc>
          <w:tcPr>
            <w:tcW w:w="0" w:type="auto"/>
            <w:vAlign w:val="center"/>
            <w:hideMark/>
          </w:tcPr>
          <w:p w:rsidR="006D796C" w:rsidRPr="00A517F5" w:rsidRDefault="006D796C" w:rsidP="00066ED7">
            <w:pPr>
              <w:spacing w:line="360" w:lineRule="auto"/>
              <w:rPr>
                <w:rFonts w:ascii="Arial" w:hAnsi="Arial" w:cs="Arial"/>
              </w:rPr>
            </w:pPr>
            <w:r w:rsidRPr="00A517F5">
              <w:rPr>
                <w:rFonts w:ascii="Arial" w:hAnsi="Arial" w:cs="Arial"/>
              </w:rPr>
              <w:t>DeNeve Bakery</w:t>
            </w:r>
          </w:p>
        </w:tc>
        <w:tc>
          <w:tcPr>
            <w:tcW w:w="0" w:type="auto"/>
          </w:tcPr>
          <w:p w:rsidR="006D796C" w:rsidRPr="00A517F5" w:rsidRDefault="006D796C" w:rsidP="00066ED7">
            <w:pPr>
              <w:jc w:val="center"/>
              <w:rPr>
                <w:rFonts w:ascii="Arial" w:hAnsi="Arial" w:cs="Arial"/>
              </w:rPr>
            </w:pPr>
            <w:r w:rsidRPr="00A517F5">
              <w:rPr>
                <w:rFonts w:ascii="Arial" w:hAnsi="Arial" w:cs="Arial"/>
              </w:rPr>
              <w:t xml:space="preserve">768221-70005  </w:t>
            </w:r>
          </w:p>
        </w:tc>
        <w:tc>
          <w:tcPr>
            <w:tcW w:w="0" w:type="auto"/>
          </w:tcPr>
          <w:p w:rsidR="006D796C" w:rsidRPr="00A517F5" w:rsidRDefault="006D796C" w:rsidP="00066ED7">
            <w:pPr>
              <w:jc w:val="center"/>
              <w:rPr>
                <w:rFonts w:ascii="Arial" w:hAnsi="Arial" w:cs="Arial"/>
              </w:rPr>
            </w:pPr>
            <w:r w:rsidRPr="00A517F5">
              <w:rPr>
                <w:rFonts w:ascii="Arial" w:hAnsi="Arial" w:cs="Arial"/>
              </w:rPr>
              <w:t>768226-70005</w:t>
            </w:r>
          </w:p>
        </w:tc>
      </w:tr>
      <w:tr w:rsidR="006D796C" w:rsidRPr="00A517F5" w:rsidTr="00066ED7">
        <w:trPr>
          <w:jc w:val="center"/>
        </w:trPr>
        <w:tc>
          <w:tcPr>
            <w:tcW w:w="0" w:type="auto"/>
            <w:vAlign w:val="center"/>
          </w:tcPr>
          <w:p w:rsidR="006D796C" w:rsidRPr="00A517F5" w:rsidRDefault="006D796C" w:rsidP="00066ED7">
            <w:pPr>
              <w:spacing w:line="360" w:lineRule="auto"/>
              <w:rPr>
                <w:rFonts w:ascii="Arial" w:hAnsi="Arial" w:cs="Arial"/>
              </w:rPr>
            </w:pPr>
            <w:r w:rsidRPr="00A517F5">
              <w:rPr>
                <w:rFonts w:ascii="Arial" w:hAnsi="Arial" w:cs="Arial"/>
              </w:rPr>
              <w:t>Dining Admin</w:t>
            </w:r>
          </w:p>
        </w:tc>
        <w:tc>
          <w:tcPr>
            <w:tcW w:w="0" w:type="auto"/>
          </w:tcPr>
          <w:p w:rsidR="006D796C" w:rsidRPr="00A517F5" w:rsidRDefault="006D796C" w:rsidP="00066ED7">
            <w:pPr>
              <w:jc w:val="center"/>
              <w:rPr>
                <w:rFonts w:ascii="Arial" w:hAnsi="Arial" w:cs="Arial"/>
              </w:rPr>
            </w:pPr>
            <w:r w:rsidRPr="00A517F5">
              <w:rPr>
                <w:rFonts w:ascii="Arial" w:hAnsi="Arial" w:cs="Arial"/>
              </w:rPr>
              <w:t xml:space="preserve">760427-70000 </w:t>
            </w:r>
          </w:p>
        </w:tc>
        <w:tc>
          <w:tcPr>
            <w:tcW w:w="0" w:type="auto"/>
          </w:tcPr>
          <w:p w:rsidR="006D796C" w:rsidRPr="00A517F5" w:rsidRDefault="006D796C" w:rsidP="00066ED7">
            <w:pPr>
              <w:jc w:val="center"/>
              <w:rPr>
                <w:rFonts w:ascii="Arial" w:hAnsi="Arial" w:cs="Arial"/>
              </w:rPr>
            </w:pPr>
            <w:r w:rsidRPr="00A517F5">
              <w:rPr>
                <w:rFonts w:ascii="Arial" w:hAnsi="Arial" w:cs="Arial"/>
              </w:rPr>
              <w:t>None</w:t>
            </w:r>
          </w:p>
        </w:tc>
      </w:tr>
      <w:tr w:rsidR="006D796C" w:rsidRPr="00A517F5" w:rsidTr="00066ED7">
        <w:trPr>
          <w:jc w:val="center"/>
        </w:trPr>
        <w:tc>
          <w:tcPr>
            <w:tcW w:w="0" w:type="auto"/>
            <w:vAlign w:val="center"/>
          </w:tcPr>
          <w:p w:rsidR="006D796C" w:rsidRPr="00A517F5" w:rsidRDefault="006D796C" w:rsidP="00066ED7">
            <w:pPr>
              <w:spacing w:line="360" w:lineRule="auto"/>
              <w:rPr>
                <w:rFonts w:ascii="Arial" w:hAnsi="Arial" w:cs="Arial"/>
              </w:rPr>
            </w:pPr>
            <w:r w:rsidRPr="00A517F5">
              <w:rPr>
                <w:rFonts w:ascii="Arial" w:hAnsi="Arial" w:cs="Arial"/>
              </w:rPr>
              <w:t>Hedrick</w:t>
            </w:r>
          </w:p>
        </w:tc>
        <w:tc>
          <w:tcPr>
            <w:tcW w:w="0" w:type="auto"/>
          </w:tcPr>
          <w:p w:rsidR="006D796C" w:rsidRPr="00A517F5" w:rsidRDefault="006D796C" w:rsidP="00066ED7">
            <w:pPr>
              <w:jc w:val="center"/>
              <w:rPr>
                <w:rFonts w:ascii="Arial" w:hAnsi="Arial" w:cs="Arial"/>
              </w:rPr>
            </w:pPr>
            <w:r w:rsidRPr="00A517F5">
              <w:rPr>
                <w:rFonts w:ascii="Arial" w:hAnsi="Arial" w:cs="Arial"/>
              </w:rPr>
              <w:t xml:space="preserve">761421-70030 </w:t>
            </w:r>
          </w:p>
        </w:tc>
        <w:tc>
          <w:tcPr>
            <w:tcW w:w="0" w:type="auto"/>
          </w:tcPr>
          <w:p w:rsidR="006D796C" w:rsidRPr="00A517F5" w:rsidRDefault="006D796C" w:rsidP="00066ED7">
            <w:pPr>
              <w:jc w:val="center"/>
              <w:rPr>
                <w:rFonts w:ascii="Arial" w:hAnsi="Arial" w:cs="Arial"/>
              </w:rPr>
            </w:pPr>
            <w:r w:rsidRPr="00A517F5">
              <w:rPr>
                <w:rFonts w:ascii="Arial" w:hAnsi="Arial" w:cs="Arial"/>
              </w:rPr>
              <w:t>761426-70030</w:t>
            </w:r>
          </w:p>
        </w:tc>
      </w:tr>
      <w:tr w:rsidR="006D796C" w:rsidRPr="00A517F5" w:rsidTr="00066ED7">
        <w:trPr>
          <w:jc w:val="center"/>
        </w:trPr>
        <w:tc>
          <w:tcPr>
            <w:tcW w:w="0" w:type="auto"/>
            <w:vAlign w:val="center"/>
          </w:tcPr>
          <w:p w:rsidR="006D796C" w:rsidRPr="00A517F5" w:rsidRDefault="006D796C" w:rsidP="00066ED7">
            <w:pPr>
              <w:spacing w:line="360" w:lineRule="auto"/>
              <w:rPr>
                <w:rFonts w:ascii="Arial" w:hAnsi="Arial" w:cs="Arial"/>
              </w:rPr>
            </w:pPr>
            <w:r w:rsidRPr="00A517F5">
              <w:rPr>
                <w:rFonts w:ascii="Arial" w:hAnsi="Arial" w:cs="Arial"/>
              </w:rPr>
              <w:t>Rendezvous</w:t>
            </w:r>
          </w:p>
        </w:tc>
        <w:tc>
          <w:tcPr>
            <w:tcW w:w="0" w:type="auto"/>
          </w:tcPr>
          <w:p w:rsidR="006D796C" w:rsidRPr="00A517F5" w:rsidRDefault="006D796C" w:rsidP="00066ED7">
            <w:pPr>
              <w:jc w:val="center"/>
              <w:rPr>
                <w:rFonts w:ascii="Arial" w:hAnsi="Arial" w:cs="Arial"/>
              </w:rPr>
            </w:pPr>
            <w:r w:rsidRPr="00A517F5">
              <w:rPr>
                <w:rFonts w:ascii="Arial" w:hAnsi="Arial" w:cs="Arial"/>
              </w:rPr>
              <w:t xml:space="preserve">767521-70025 </w:t>
            </w:r>
          </w:p>
        </w:tc>
        <w:tc>
          <w:tcPr>
            <w:tcW w:w="0" w:type="auto"/>
          </w:tcPr>
          <w:p w:rsidR="006D796C" w:rsidRPr="00A517F5" w:rsidRDefault="006D796C" w:rsidP="00066ED7">
            <w:pPr>
              <w:jc w:val="center"/>
              <w:rPr>
                <w:rFonts w:ascii="Arial" w:hAnsi="Arial" w:cs="Arial"/>
              </w:rPr>
            </w:pPr>
            <w:r w:rsidRPr="00A517F5">
              <w:rPr>
                <w:rFonts w:ascii="Arial" w:hAnsi="Arial" w:cs="Arial"/>
              </w:rPr>
              <w:t>767526-70025</w:t>
            </w:r>
          </w:p>
        </w:tc>
      </w:tr>
      <w:tr w:rsidR="006D796C" w:rsidRPr="00A517F5" w:rsidTr="00066ED7">
        <w:trPr>
          <w:jc w:val="center"/>
        </w:trPr>
        <w:tc>
          <w:tcPr>
            <w:tcW w:w="0" w:type="auto"/>
            <w:vAlign w:val="center"/>
          </w:tcPr>
          <w:p w:rsidR="006D796C" w:rsidRPr="00A517F5" w:rsidRDefault="006D796C" w:rsidP="00066ED7">
            <w:pPr>
              <w:spacing w:line="360" w:lineRule="auto"/>
              <w:rPr>
                <w:rFonts w:ascii="Arial" w:hAnsi="Arial" w:cs="Arial"/>
              </w:rPr>
            </w:pPr>
            <w:r w:rsidRPr="00A517F5">
              <w:rPr>
                <w:rFonts w:ascii="Arial" w:hAnsi="Arial" w:cs="Arial"/>
              </w:rPr>
              <w:t>Rieber (FEAST)</w:t>
            </w:r>
          </w:p>
        </w:tc>
        <w:tc>
          <w:tcPr>
            <w:tcW w:w="0" w:type="auto"/>
          </w:tcPr>
          <w:p w:rsidR="006D796C" w:rsidRPr="00A517F5" w:rsidRDefault="006D796C" w:rsidP="00066ED7">
            <w:pPr>
              <w:jc w:val="center"/>
              <w:rPr>
                <w:rFonts w:ascii="Arial" w:hAnsi="Arial" w:cs="Arial"/>
              </w:rPr>
            </w:pPr>
            <w:r w:rsidRPr="00A517F5">
              <w:rPr>
                <w:rFonts w:ascii="Arial" w:hAnsi="Arial" w:cs="Arial"/>
              </w:rPr>
              <w:t xml:space="preserve">761221-70025 </w:t>
            </w:r>
          </w:p>
        </w:tc>
        <w:tc>
          <w:tcPr>
            <w:tcW w:w="0" w:type="auto"/>
          </w:tcPr>
          <w:p w:rsidR="006D796C" w:rsidRPr="00A517F5" w:rsidRDefault="006D796C" w:rsidP="00066ED7">
            <w:pPr>
              <w:jc w:val="center"/>
              <w:rPr>
                <w:rFonts w:ascii="Arial" w:hAnsi="Arial" w:cs="Arial"/>
              </w:rPr>
            </w:pPr>
            <w:r w:rsidRPr="00A517F5">
              <w:rPr>
                <w:rFonts w:ascii="Arial" w:hAnsi="Arial" w:cs="Arial"/>
              </w:rPr>
              <w:t>761226-70025</w:t>
            </w:r>
          </w:p>
        </w:tc>
      </w:tr>
    </w:tbl>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r w:rsidRPr="00A517F5">
        <w:rPr>
          <w:rFonts w:ascii="Arial" w:hAnsi="Arial" w:cs="Arial"/>
        </w:rPr>
        <w:t>Expenditures in each Detail General Ledger were analyzed and aggregated by sub code (Table 2).  Based on the analysis, A&amp;AS focused on type entry 41 (Accounts Payable invoice accrual) transactions in sub code 03 (Supplies &amp; Expense).  The remaining type entries and sub codes were either outside the scope of the audit, or had relatively low amounts of expenditures (or none) during the period of review (fiscal year 2014-15).</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center"/>
        <w:textAlignment w:val="baseline"/>
        <w:rPr>
          <w:rFonts w:ascii="Arial" w:hAnsi="Arial" w:cs="Arial"/>
          <w:b/>
          <w:u w:val="single"/>
        </w:rPr>
      </w:pPr>
      <w:r w:rsidRPr="00A517F5">
        <w:rPr>
          <w:rFonts w:ascii="Arial" w:hAnsi="Arial" w:cs="Arial"/>
          <w:b/>
          <w:u w:val="single"/>
        </w:rPr>
        <w:t>Table 2</w:t>
      </w:r>
    </w:p>
    <w:p w:rsidR="006D796C" w:rsidRPr="00A517F5" w:rsidRDefault="006D796C" w:rsidP="006D796C">
      <w:pPr>
        <w:overflowPunct w:val="0"/>
        <w:autoSpaceDE w:val="0"/>
        <w:autoSpaceDN w:val="0"/>
        <w:adjustRightInd w:val="0"/>
        <w:spacing w:line="360" w:lineRule="auto"/>
        <w:jc w:val="center"/>
        <w:textAlignment w:val="baseline"/>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2591"/>
        <w:gridCol w:w="1737"/>
        <w:gridCol w:w="1363"/>
      </w:tblGrid>
      <w:tr w:rsidR="006D796C" w:rsidRPr="00A517F5" w:rsidTr="00066ED7">
        <w:trPr>
          <w:jc w:val="center"/>
        </w:trPr>
        <w:tc>
          <w:tcPr>
            <w:tcW w:w="0" w:type="auto"/>
            <w:vAlign w:val="center"/>
          </w:tcPr>
          <w:p w:rsidR="006D796C" w:rsidRPr="00A517F5" w:rsidRDefault="006D796C" w:rsidP="00066ED7">
            <w:pPr>
              <w:overflowPunct w:val="0"/>
              <w:autoSpaceDE w:val="0"/>
              <w:autoSpaceDN w:val="0"/>
              <w:adjustRightInd w:val="0"/>
              <w:spacing w:line="360" w:lineRule="auto"/>
              <w:jc w:val="center"/>
              <w:textAlignment w:val="baseline"/>
              <w:rPr>
                <w:rFonts w:ascii="Arial" w:hAnsi="Arial" w:cs="Arial"/>
                <w:b/>
                <w:u w:val="single"/>
              </w:rPr>
            </w:pPr>
            <w:r w:rsidRPr="00A517F5">
              <w:rPr>
                <w:rFonts w:ascii="Arial" w:hAnsi="Arial" w:cs="Arial"/>
                <w:b/>
                <w:u w:val="single"/>
              </w:rPr>
              <w:t>Sub Code</w:t>
            </w:r>
          </w:p>
        </w:tc>
        <w:tc>
          <w:tcPr>
            <w:tcW w:w="0" w:type="auto"/>
            <w:vAlign w:val="center"/>
          </w:tcPr>
          <w:p w:rsidR="006D796C" w:rsidRPr="00A517F5" w:rsidRDefault="006D796C" w:rsidP="00066ED7">
            <w:pPr>
              <w:overflowPunct w:val="0"/>
              <w:autoSpaceDE w:val="0"/>
              <w:autoSpaceDN w:val="0"/>
              <w:adjustRightInd w:val="0"/>
              <w:spacing w:line="360" w:lineRule="auto"/>
              <w:textAlignment w:val="baseline"/>
              <w:rPr>
                <w:rFonts w:ascii="Arial" w:hAnsi="Arial" w:cs="Arial"/>
                <w:b/>
                <w:u w:val="single"/>
              </w:rPr>
            </w:pPr>
            <w:r w:rsidRPr="00A517F5">
              <w:rPr>
                <w:rFonts w:ascii="Arial" w:hAnsi="Arial" w:cs="Arial"/>
                <w:b/>
                <w:u w:val="single"/>
              </w:rPr>
              <w:t>Description</w:t>
            </w:r>
          </w:p>
        </w:tc>
        <w:tc>
          <w:tcPr>
            <w:tcW w:w="0" w:type="auto"/>
            <w:vAlign w:val="center"/>
          </w:tcPr>
          <w:p w:rsidR="006D796C" w:rsidRPr="00A517F5" w:rsidRDefault="006D796C" w:rsidP="00066ED7">
            <w:pPr>
              <w:overflowPunct w:val="0"/>
              <w:autoSpaceDE w:val="0"/>
              <w:autoSpaceDN w:val="0"/>
              <w:adjustRightInd w:val="0"/>
              <w:spacing w:line="360" w:lineRule="auto"/>
              <w:jc w:val="center"/>
              <w:textAlignment w:val="baseline"/>
              <w:rPr>
                <w:rFonts w:ascii="Arial" w:hAnsi="Arial" w:cs="Arial"/>
                <w:b/>
                <w:u w:val="single"/>
              </w:rPr>
            </w:pPr>
            <w:r w:rsidRPr="00A517F5">
              <w:rPr>
                <w:rFonts w:ascii="Arial" w:hAnsi="Arial" w:cs="Arial"/>
                <w:b/>
                <w:u w:val="single"/>
              </w:rPr>
              <w:t>Expenditures</w:t>
            </w:r>
          </w:p>
        </w:tc>
        <w:tc>
          <w:tcPr>
            <w:tcW w:w="0" w:type="auto"/>
            <w:vAlign w:val="center"/>
          </w:tcPr>
          <w:p w:rsidR="006D796C" w:rsidRPr="00A517F5" w:rsidRDefault="006D796C" w:rsidP="00066ED7">
            <w:pPr>
              <w:overflowPunct w:val="0"/>
              <w:autoSpaceDE w:val="0"/>
              <w:autoSpaceDN w:val="0"/>
              <w:adjustRightInd w:val="0"/>
              <w:spacing w:line="360" w:lineRule="auto"/>
              <w:jc w:val="center"/>
              <w:textAlignment w:val="baseline"/>
              <w:rPr>
                <w:rFonts w:ascii="Arial" w:hAnsi="Arial" w:cs="Arial"/>
                <w:b/>
                <w:u w:val="single"/>
              </w:rPr>
            </w:pPr>
            <w:r w:rsidRPr="00A517F5">
              <w:rPr>
                <w:rFonts w:ascii="Arial" w:hAnsi="Arial" w:cs="Arial"/>
                <w:b/>
                <w:u w:val="single"/>
              </w:rPr>
              <w:t>% of Total</w:t>
            </w:r>
          </w:p>
        </w:tc>
      </w:tr>
      <w:tr w:rsidR="006D796C" w:rsidRPr="00A517F5" w:rsidTr="00066ED7">
        <w:trPr>
          <w:jc w:val="center"/>
        </w:trPr>
        <w:tc>
          <w:tcPr>
            <w:tcW w:w="0" w:type="auto"/>
            <w:vAlign w:val="center"/>
          </w:tcPr>
          <w:p w:rsidR="006D796C" w:rsidRPr="00A517F5" w:rsidRDefault="006D796C" w:rsidP="00066ED7">
            <w:pPr>
              <w:overflowPunct w:val="0"/>
              <w:autoSpaceDE w:val="0"/>
              <w:autoSpaceDN w:val="0"/>
              <w:adjustRightInd w:val="0"/>
              <w:spacing w:line="360" w:lineRule="auto"/>
              <w:jc w:val="center"/>
              <w:textAlignment w:val="baseline"/>
              <w:rPr>
                <w:rFonts w:ascii="Arial" w:hAnsi="Arial" w:cs="Arial"/>
              </w:rPr>
            </w:pPr>
            <w:r w:rsidRPr="00A517F5">
              <w:rPr>
                <w:rFonts w:ascii="Arial" w:hAnsi="Arial" w:cs="Arial"/>
              </w:rPr>
              <w:t>01</w:t>
            </w:r>
          </w:p>
        </w:tc>
        <w:tc>
          <w:tcPr>
            <w:tcW w:w="0" w:type="auto"/>
            <w:vAlign w:val="center"/>
          </w:tcPr>
          <w:p w:rsidR="006D796C" w:rsidRPr="00A517F5" w:rsidRDefault="006D796C" w:rsidP="00066ED7">
            <w:pPr>
              <w:overflowPunct w:val="0"/>
              <w:autoSpaceDE w:val="0"/>
              <w:autoSpaceDN w:val="0"/>
              <w:adjustRightInd w:val="0"/>
              <w:spacing w:line="360" w:lineRule="auto"/>
              <w:textAlignment w:val="baseline"/>
              <w:rPr>
                <w:rFonts w:ascii="Arial" w:hAnsi="Arial" w:cs="Arial"/>
              </w:rPr>
            </w:pPr>
            <w:r w:rsidRPr="00A517F5">
              <w:rPr>
                <w:rFonts w:ascii="Arial" w:hAnsi="Arial" w:cs="Arial"/>
              </w:rPr>
              <w:t>Salaries – Staff</w:t>
            </w:r>
          </w:p>
        </w:tc>
        <w:tc>
          <w:tcPr>
            <w:tcW w:w="0" w:type="auto"/>
          </w:tcPr>
          <w:p w:rsidR="006D796C" w:rsidRPr="00A517F5" w:rsidRDefault="006D796C" w:rsidP="00066ED7">
            <w:pPr>
              <w:autoSpaceDE w:val="0"/>
              <w:autoSpaceDN w:val="0"/>
              <w:adjustRightInd w:val="0"/>
              <w:rPr>
                <w:rFonts w:ascii="Arial" w:hAnsi="Arial" w:cs="Arial"/>
                <w:color w:val="000000"/>
              </w:rPr>
            </w:pPr>
            <w:r w:rsidRPr="00A517F5">
              <w:rPr>
                <w:rFonts w:ascii="Arial" w:hAnsi="Arial" w:cs="Arial"/>
                <w:color w:val="000000"/>
              </w:rPr>
              <w:t>$    3,595,186</w:t>
            </w:r>
          </w:p>
        </w:tc>
        <w:tc>
          <w:tcPr>
            <w:tcW w:w="0" w:type="auto"/>
          </w:tcPr>
          <w:p w:rsidR="006D796C" w:rsidRPr="00A517F5" w:rsidRDefault="006D796C" w:rsidP="00066ED7">
            <w:pPr>
              <w:autoSpaceDE w:val="0"/>
              <w:autoSpaceDN w:val="0"/>
              <w:adjustRightInd w:val="0"/>
              <w:jc w:val="center"/>
              <w:rPr>
                <w:rFonts w:ascii="Arial" w:hAnsi="Arial" w:cs="Arial"/>
                <w:color w:val="000000"/>
              </w:rPr>
            </w:pPr>
            <w:r w:rsidRPr="00A517F5">
              <w:rPr>
                <w:rFonts w:ascii="Arial" w:hAnsi="Arial" w:cs="Arial"/>
                <w:color w:val="000000"/>
              </w:rPr>
              <w:t>9.6</w:t>
            </w:r>
          </w:p>
        </w:tc>
      </w:tr>
      <w:tr w:rsidR="006D796C" w:rsidRPr="00A517F5" w:rsidTr="00066ED7">
        <w:trPr>
          <w:jc w:val="center"/>
        </w:trPr>
        <w:tc>
          <w:tcPr>
            <w:tcW w:w="0" w:type="auto"/>
            <w:vAlign w:val="center"/>
          </w:tcPr>
          <w:p w:rsidR="006D796C" w:rsidRPr="00A517F5" w:rsidRDefault="006D796C" w:rsidP="00066ED7">
            <w:pPr>
              <w:overflowPunct w:val="0"/>
              <w:autoSpaceDE w:val="0"/>
              <w:autoSpaceDN w:val="0"/>
              <w:adjustRightInd w:val="0"/>
              <w:spacing w:line="360" w:lineRule="auto"/>
              <w:jc w:val="center"/>
              <w:textAlignment w:val="baseline"/>
              <w:rPr>
                <w:rFonts w:ascii="Arial" w:hAnsi="Arial" w:cs="Arial"/>
              </w:rPr>
            </w:pPr>
            <w:r w:rsidRPr="00A517F5">
              <w:rPr>
                <w:rFonts w:ascii="Arial" w:hAnsi="Arial" w:cs="Arial"/>
              </w:rPr>
              <w:t>02</w:t>
            </w:r>
          </w:p>
        </w:tc>
        <w:tc>
          <w:tcPr>
            <w:tcW w:w="0" w:type="auto"/>
            <w:vAlign w:val="center"/>
          </w:tcPr>
          <w:p w:rsidR="006D796C" w:rsidRPr="00A517F5" w:rsidRDefault="006D796C" w:rsidP="00066ED7">
            <w:pPr>
              <w:overflowPunct w:val="0"/>
              <w:autoSpaceDE w:val="0"/>
              <w:autoSpaceDN w:val="0"/>
              <w:adjustRightInd w:val="0"/>
              <w:spacing w:line="360" w:lineRule="auto"/>
              <w:textAlignment w:val="baseline"/>
              <w:rPr>
                <w:rFonts w:ascii="Arial" w:hAnsi="Arial" w:cs="Arial"/>
              </w:rPr>
            </w:pPr>
            <w:r w:rsidRPr="00A517F5">
              <w:rPr>
                <w:rFonts w:ascii="Arial" w:hAnsi="Arial" w:cs="Arial"/>
              </w:rPr>
              <w:t>General Assistance</w:t>
            </w:r>
          </w:p>
        </w:tc>
        <w:tc>
          <w:tcPr>
            <w:tcW w:w="0" w:type="auto"/>
          </w:tcPr>
          <w:p w:rsidR="006D796C" w:rsidRPr="00A517F5" w:rsidRDefault="006D796C" w:rsidP="00066ED7">
            <w:pPr>
              <w:autoSpaceDE w:val="0"/>
              <w:autoSpaceDN w:val="0"/>
              <w:adjustRightInd w:val="0"/>
              <w:rPr>
                <w:rFonts w:ascii="Arial" w:hAnsi="Arial" w:cs="Arial"/>
                <w:color w:val="000000"/>
              </w:rPr>
            </w:pPr>
            <w:r w:rsidRPr="00A517F5">
              <w:rPr>
                <w:rFonts w:ascii="Arial" w:hAnsi="Arial" w:cs="Arial"/>
                <w:color w:val="000000"/>
              </w:rPr>
              <w:t>$  17,226,668</w:t>
            </w:r>
          </w:p>
        </w:tc>
        <w:tc>
          <w:tcPr>
            <w:tcW w:w="0" w:type="auto"/>
          </w:tcPr>
          <w:p w:rsidR="006D796C" w:rsidRPr="00A517F5" w:rsidRDefault="006D796C" w:rsidP="00066ED7">
            <w:pPr>
              <w:autoSpaceDE w:val="0"/>
              <w:autoSpaceDN w:val="0"/>
              <w:adjustRightInd w:val="0"/>
              <w:jc w:val="center"/>
              <w:rPr>
                <w:rFonts w:ascii="Arial" w:hAnsi="Arial" w:cs="Arial"/>
                <w:color w:val="000000"/>
              </w:rPr>
            </w:pPr>
            <w:r w:rsidRPr="00A517F5">
              <w:rPr>
                <w:rFonts w:ascii="Arial" w:hAnsi="Arial" w:cs="Arial"/>
                <w:color w:val="000000"/>
              </w:rPr>
              <w:t>45.9</w:t>
            </w:r>
          </w:p>
        </w:tc>
      </w:tr>
      <w:tr w:rsidR="006D796C" w:rsidRPr="00A517F5" w:rsidTr="00066ED7">
        <w:trPr>
          <w:jc w:val="center"/>
        </w:trPr>
        <w:tc>
          <w:tcPr>
            <w:tcW w:w="0" w:type="auto"/>
            <w:vAlign w:val="center"/>
          </w:tcPr>
          <w:p w:rsidR="006D796C" w:rsidRPr="00A517F5" w:rsidRDefault="006D796C" w:rsidP="00066ED7">
            <w:pPr>
              <w:overflowPunct w:val="0"/>
              <w:autoSpaceDE w:val="0"/>
              <w:autoSpaceDN w:val="0"/>
              <w:adjustRightInd w:val="0"/>
              <w:spacing w:line="360" w:lineRule="auto"/>
              <w:jc w:val="center"/>
              <w:textAlignment w:val="baseline"/>
              <w:rPr>
                <w:rFonts w:ascii="Arial" w:hAnsi="Arial" w:cs="Arial"/>
              </w:rPr>
            </w:pPr>
            <w:r w:rsidRPr="00A517F5">
              <w:rPr>
                <w:rFonts w:ascii="Arial" w:hAnsi="Arial" w:cs="Arial"/>
              </w:rPr>
              <w:t>03</w:t>
            </w:r>
          </w:p>
        </w:tc>
        <w:tc>
          <w:tcPr>
            <w:tcW w:w="0" w:type="auto"/>
            <w:vAlign w:val="center"/>
          </w:tcPr>
          <w:p w:rsidR="006D796C" w:rsidRPr="00A517F5" w:rsidRDefault="006D796C" w:rsidP="00066ED7">
            <w:pPr>
              <w:overflowPunct w:val="0"/>
              <w:autoSpaceDE w:val="0"/>
              <w:autoSpaceDN w:val="0"/>
              <w:adjustRightInd w:val="0"/>
              <w:spacing w:line="360" w:lineRule="auto"/>
              <w:textAlignment w:val="baseline"/>
              <w:rPr>
                <w:rFonts w:ascii="Arial" w:hAnsi="Arial" w:cs="Arial"/>
              </w:rPr>
            </w:pPr>
            <w:r w:rsidRPr="00A517F5">
              <w:rPr>
                <w:rFonts w:ascii="Arial" w:hAnsi="Arial" w:cs="Arial"/>
              </w:rPr>
              <w:t>Supplies &amp; Expense</w:t>
            </w:r>
          </w:p>
        </w:tc>
        <w:tc>
          <w:tcPr>
            <w:tcW w:w="0" w:type="auto"/>
          </w:tcPr>
          <w:p w:rsidR="006D796C" w:rsidRPr="00A517F5" w:rsidRDefault="006D796C" w:rsidP="00066ED7">
            <w:pPr>
              <w:autoSpaceDE w:val="0"/>
              <w:autoSpaceDN w:val="0"/>
              <w:adjustRightInd w:val="0"/>
              <w:rPr>
                <w:rFonts w:ascii="Arial" w:hAnsi="Arial" w:cs="Arial"/>
                <w:color w:val="000000"/>
              </w:rPr>
            </w:pPr>
            <w:r w:rsidRPr="00A517F5">
              <w:rPr>
                <w:rFonts w:ascii="Arial" w:hAnsi="Arial" w:cs="Arial"/>
                <w:color w:val="000000"/>
              </w:rPr>
              <w:t>$    4,718,602</w:t>
            </w:r>
          </w:p>
        </w:tc>
        <w:tc>
          <w:tcPr>
            <w:tcW w:w="0" w:type="auto"/>
          </w:tcPr>
          <w:p w:rsidR="006D796C" w:rsidRPr="00A517F5" w:rsidRDefault="006D796C" w:rsidP="00066ED7">
            <w:pPr>
              <w:autoSpaceDE w:val="0"/>
              <w:autoSpaceDN w:val="0"/>
              <w:adjustRightInd w:val="0"/>
              <w:jc w:val="center"/>
              <w:rPr>
                <w:rFonts w:ascii="Arial" w:hAnsi="Arial" w:cs="Arial"/>
                <w:color w:val="000000"/>
              </w:rPr>
            </w:pPr>
            <w:r w:rsidRPr="00A517F5">
              <w:rPr>
                <w:rFonts w:ascii="Arial" w:hAnsi="Arial" w:cs="Arial"/>
                <w:color w:val="000000"/>
              </w:rPr>
              <w:t>12.6</w:t>
            </w:r>
          </w:p>
        </w:tc>
      </w:tr>
      <w:tr w:rsidR="006D796C" w:rsidRPr="00A517F5" w:rsidTr="00066ED7">
        <w:trPr>
          <w:jc w:val="center"/>
        </w:trPr>
        <w:tc>
          <w:tcPr>
            <w:tcW w:w="0" w:type="auto"/>
            <w:vAlign w:val="center"/>
          </w:tcPr>
          <w:p w:rsidR="006D796C" w:rsidRPr="00A517F5" w:rsidRDefault="006D796C" w:rsidP="00066ED7">
            <w:pPr>
              <w:overflowPunct w:val="0"/>
              <w:autoSpaceDE w:val="0"/>
              <w:autoSpaceDN w:val="0"/>
              <w:adjustRightInd w:val="0"/>
              <w:spacing w:line="360" w:lineRule="auto"/>
              <w:jc w:val="center"/>
              <w:textAlignment w:val="baseline"/>
              <w:rPr>
                <w:rFonts w:ascii="Arial" w:hAnsi="Arial" w:cs="Arial"/>
              </w:rPr>
            </w:pPr>
            <w:r w:rsidRPr="00A517F5">
              <w:rPr>
                <w:rFonts w:ascii="Arial" w:hAnsi="Arial" w:cs="Arial"/>
              </w:rPr>
              <w:t>04</w:t>
            </w:r>
          </w:p>
        </w:tc>
        <w:tc>
          <w:tcPr>
            <w:tcW w:w="0" w:type="auto"/>
            <w:vAlign w:val="center"/>
          </w:tcPr>
          <w:p w:rsidR="006D796C" w:rsidRPr="00A517F5" w:rsidRDefault="006D796C" w:rsidP="00066ED7">
            <w:pPr>
              <w:overflowPunct w:val="0"/>
              <w:autoSpaceDE w:val="0"/>
              <w:autoSpaceDN w:val="0"/>
              <w:adjustRightInd w:val="0"/>
              <w:spacing w:line="360" w:lineRule="auto"/>
              <w:textAlignment w:val="baseline"/>
              <w:rPr>
                <w:rFonts w:ascii="Arial" w:hAnsi="Arial" w:cs="Arial"/>
              </w:rPr>
            </w:pPr>
            <w:r w:rsidRPr="00A517F5">
              <w:rPr>
                <w:rFonts w:ascii="Arial" w:hAnsi="Arial" w:cs="Arial"/>
              </w:rPr>
              <w:t>Equipment &amp; Facilities</w:t>
            </w:r>
          </w:p>
        </w:tc>
        <w:tc>
          <w:tcPr>
            <w:tcW w:w="0" w:type="auto"/>
          </w:tcPr>
          <w:p w:rsidR="006D796C" w:rsidRPr="00A517F5" w:rsidRDefault="006D796C" w:rsidP="00066ED7">
            <w:pPr>
              <w:autoSpaceDE w:val="0"/>
              <w:autoSpaceDN w:val="0"/>
              <w:adjustRightInd w:val="0"/>
              <w:rPr>
                <w:rFonts w:ascii="Arial" w:hAnsi="Arial" w:cs="Arial"/>
                <w:color w:val="000000"/>
              </w:rPr>
            </w:pPr>
            <w:r w:rsidRPr="00A517F5">
              <w:rPr>
                <w:rFonts w:ascii="Arial" w:hAnsi="Arial" w:cs="Arial"/>
                <w:color w:val="000000"/>
              </w:rPr>
              <w:t>$                  0</w:t>
            </w:r>
          </w:p>
        </w:tc>
        <w:tc>
          <w:tcPr>
            <w:tcW w:w="0" w:type="auto"/>
          </w:tcPr>
          <w:p w:rsidR="006D796C" w:rsidRPr="00A517F5" w:rsidRDefault="006D796C" w:rsidP="00066ED7">
            <w:pPr>
              <w:autoSpaceDE w:val="0"/>
              <w:autoSpaceDN w:val="0"/>
              <w:adjustRightInd w:val="0"/>
              <w:jc w:val="center"/>
              <w:rPr>
                <w:rFonts w:ascii="Arial" w:hAnsi="Arial" w:cs="Arial"/>
                <w:color w:val="000000"/>
              </w:rPr>
            </w:pPr>
            <w:r w:rsidRPr="00A517F5">
              <w:rPr>
                <w:rFonts w:ascii="Arial" w:hAnsi="Arial" w:cs="Arial"/>
                <w:color w:val="000000"/>
              </w:rPr>
              <w:t>0.0</w:t>
            </w:r>
          </w:p>
        </w:tc>
      </w:tr>
      <w:tr w:rsidR="006D796C" w:rsidRPr="00A517F5" w:rsidTr="00066ED7">
        <w:trPr>
          <w:jc w:val="center"/>
        </w:trPr>
        <w:tc>
          <w:tcPr>
            <w:tcW w:w="0" w:type="auto"/>
            <w:vAlign w:val="center"/>
          </w:tcPr>
          <w:p w:rsidR="006D796C" w:rsidRPr="00A517F5" w:rsidRDefault="006D796C" w:rsidP="00066ED7">
            <w:pPr>
              <w:overflowPunct w:val="0"/>
              <w:autoSpaceDE w:val="0"/>
              <w:autoSpaceDN w:val="0"/>
              <w:adjustRightInd w:val="0"/>
              <w:spacing w:line="360" w:lineRule="auto"/>
              <w:jc w:val="center"/>
              <w:textAlignment w:val="baseline"/>
              <w:rPr>
                <w:rFonts w:ascii="Arial" w:hAnsi="Arial" w:cs="Arial"/>
              </w:rPr>
            </w:pPr>
            <w:r w:rsidRPr="00A517F5">
              <w:rPr>
                <w:rFonts w:ascii="Arial" w:hAnsi="Arial" w:cs="Arial"/>
              </w:rPr>
              <w:t>05</w:t>
            </w:r>
          </w:p>
        </w:tc>
        <w:tc>
          <w:tcPr>
            <w:tcW w:w="0" w:type="auto"/>
            <w:vAlign w:val="center"/>
          </w:tcPr>
          <w:p w:rsidR="006D796C" w:rsidRPr="00A517F5" w:rsidRDefault="006D796C" w:rsidP="00066ED7">
            <w:pPr>
              <w:overflowPunct w:val="0"/>
              <w:autoSpaceDE w:val="0"/>
              <w:autoSpaceDN w:val="0"/>
              <w:adjustRightInd w:val="0"/>
              <w:spacing w:line="360" w:lineRule="auto"/>
              <w:textAlignment w:val="baseline"/>
              <w:rPr>
                <w:rFonts w:ascii="Arial" w:hAnsi="Arial" w:cs="Arial"/>
              </w:rPr>
            </w:pPr>
            <w:r w:rsidRPr="00A517F5">
              <w:rPr>
                <w:rFonts w:ascii="Arial" w:hAnsi="Arial" w:cs="Arial"/>
              </w:rPr>
              <w:t>Special Items</w:t>
            </w:r>
          </w:p>
        </w:tc>
        <w:tc>
          <w:tcPr>
            <w:tcW w:w="0" w:type="auto"/>
          </w:tcPr>
          <w:p w:rsidR="006D796C" w:rsidRPr="00A517F5" w:rsidRDefault="006D796C" w:rsidP="00066ED7">
            <w:pPr>
              <w:autoSpaceDE w:val="0"/>
              <w:autoSpaceDN w:val="0"/>
              <w:adjustRightInd w:val="0"/>
              <w:rPr>
                <w:rFonts w:ascii="Arial" w:hAnsi="Arial" w:cs="Arial"/>
                <w:color w:val="000000"/>
              </w:rPr>
            </w:pPr>
            <w:r w:rsidRPr="00A517F5">
              <w:rPr>
                <w:rFonts w:ascii="Arial" w:hAnsi="Arial" w:cs="Arial"/>
                <w:color w:val="000000"/>
              </w:rPr>
              <w:t>$              710</w:t>
            </w:r>
          </w:p>
        </w:tc>
        <w:tc>
          <w:tcPr>
            <w:tcW w:w="0" w:type="auto"/>
          </w:tcPr>
          <w:p w:rsidR="006D796C" w:rsidRPr="00A517F5" w:rsidRDefault="006D796C" w:rsidP="00066ED7">
            <w:pPr>
              <w:autoSpaceDE w:val="0"/>
              <w:autoSpaceDN w:val="0"/>
              <w:adjustRightInd w:val="0"/>
              <w:jc w:val="center"/>
              <w:rPr>
                <w:rFonts w:ascii="Arial" w:hAnsi="Arial" w:cs="Arial"/>
                <w:color w:val="000000"/>
              </w:rPr>
            </w:pPr>
            <w:r w:rsidRPr="00A517F5">
              <w:rPr>
                <w:rFonts w:ascii="Arial" w:hAnsi="Arial" w:cs="Arial"/>
                <w:color w:val="000000"/>
              </w:rPr>
              <w:t>0.0</w:t>
            </w:r>
          </w:p>
        </w:tc>
      </w:tr>
      <w:tr w:rsidR="006D796C" w:rsidRPr="00A517F5" w:rsidTr="00066ED7">
        <w:trPr>
          <w:jc w:val="center"/>
        </w:trPr>
        <w:tc>
          <w:tcPr>
            <w:tcW w:w="0" w:type="auto"/>
            <w:vAlign w:val="center"/>
          </w:tcPr>
          <w:p w:rsidR="006D796C" w:rsidRPr="00A517F5" w:rsidRDefault="006D796C" w:rsidP="00066ED7">
            <w:pPr>
              <w:overflowPunct w:val="0"/>
              <w:autoSpaceDE w:val="0"/>
              <w:autoSpaceDN w:val="0"/>
              <w:adjustRightInd w:val="0"/>
              <w:spacing w:line="360" w:lineRule="auto"/>
              <w:jc w:val="center"/>
              <w:textAlignment w:val="baseline"/>
              <w:rPr>
                <w:rFonts w:ascii="Arial" w:hAnsi="Arial" w:cs="Arial"/>
              </w:rPr>
            </w:pPr>
            <w:r w:rsidRPr="00A517F5">
              <w:rPr>
                <w:rFonts w:ascii="Arial" w:hAnsi="Arial" w:cs="Arial"/>
              </w:rPr>
              <w:t>06</w:t>
            </w:r>
          </w:p>
        </w:tc>
        <w:tc>
          <w:tcPr>
            <w:tcW w:w="0" w:type="auto"/>
            <w:vAlign w:val="center"/>
          </w:tcPr>
          <w:p w:rsidR="006D796C" w:rsidRPr="00A517F5" w:rsidRDefault="006D796C" w:rsidP="00066ED7">
            <w:pPr>
              <w:overflowPunct w:val="0"/>
              <w:autoSpaceDE w:val="0"/>
              <w:autoSpaceDN w:val="0"/>
              <w:adjustRightInd w:val="0"/>
              <w:spacing w:line="360" w:lineRule="auto"/>
              <w:textAlignment w:val="baseline"/>
              <w:rPr>
                <w:rFonts w:ascii="Arial" w:hAnsi="Arial" w:cs="Arial"/>
              </w:rPr>
            </w:pPr>
            <w:r w:rsidRPr="00A517F5">
              <w:rPr>
                <w:rFonts w:ascii="Arial" w:hAnsi="Arial" w:cs="Arial"/>
              </w:rPr>
              <w:t>Employee Benefits</w:t>
            </w:r>
          </w:p>
        </w:tc>
        <w:tc>
          <w:tcPr>
            <w:tcW w:w="0" w:type="auto"/>
          </w:tcPr>
          <w:p w:rsidR="006D796C" w:rsidRPr="00A517F5" w:rsidRDefault="006D796C" w:rsidP="00066ED7">
            <w:pPr>
              <w:autoSpaceDE w:val="0"/>
              <w:autoSpaceDN w:val="0"/>
              <w:adjustRightInd w:val="0"/>
              <w:rPr>
                <w:rFonts w:ascii="Arial" w:hAnsi="Arial" w:cs="Arial"/>
                <w:color w:val="000000"/>
              </w:rPr>
            </w:pPr>
            <w:r w:rsidRPr="00A517F5">
              <w:rPr>
                <w:rFonts w:ascii="Arial" w:hAnsi="Arial" w:cs="Arial"/>
                <w:color w:val="000000"/>
              </w:rPr>
              <w:t>$  11,904,619</w:t>
            </w:r>
          </w:p>
        </w:tc>
        <w:tc>
          <w:tcPr>
            <w:tcW w:w="0" w:type="auto"/>
          </w:tcPr>
          <w:p w:rsidR="006D796C" w:rsidRPr="00A517F5" w:rsidRDefault="006D796C" w:rsidP="00066ED7">
            <w:pPr>
              <w:autoSpaceDE w:val="0"/>
              <w:autoSpaceDN w:val="0"/>
              <w:adjustRightInd w:val="0"/>
              <w:jc w:val="center"/>
              <w:rPr>
                <w:rFonts w:ascii="Arial" w:hAnsi="Arial" w:cs="Arial"/>
                <w:color w:val="000000"/>
              </w:rPr>
            </w:pPr>
            <w:r w:rsidRPr="00A517F5">
              <w:rPr>
                <w:rFonts w:ascii="Arial" w:hAnsi="Arial" w:cs="Arial"/>
                <w:color w:val="000000"/>
              </w:rPr>
              <w:t>31.8</w:t>
            </w:r>
          </w:p>
        </w:tc>
      </w:tr>
      <w:tr w:rsidR="006D796C" w:rsidRPr="00A517F5" w:rsidTr="00066ED7">
        <w:trPr>
          <w:jc w:val="center"/>
        </w:trPr>
        <w:tc>
          <w:tcPr>
            <w:tcW w:w="0" w:type="auto"/>
            <w:vAlign w:val="center"/>
          </w:tcPr>
          <w:p w:rsidR="006D796C" w:rsidRPr="00A517F5" w:rsidRDefault="006D796C" w:rsidP="00066ED7">
            <w:pPr>
              <w:overflowPunct w:val="0"/>
              <w:autoSpaceDE w:val="0"/>
              <w:autoSpaceDN w:val="0"/>
              <w:adjustRightInd w:val="0"/>
              <w:spacing w:line="360" w:lineRule="auto"/>
              <w:jc w:val="center"/>
              <w:textAlignment w:val="baseline"/>
              <w:rPr>
                <w:rFonts w:ascii="Arial" w:hAnsi="Arial" w:cs="Arial"/>
              </w:rPr>
            </w:pPr>
            <w:r w:rsidRPr="00A517F5">
              <w:rPr>
                <w:rFonts w:ascii="Arial" w:hAnsi="Arial" w:cs="Arial"/>
              </w:rPr>
              <w:t>07</w:t>
            </w:r>
          </w:p>
        </w:tc>
        <w:tc>
          <w:tcPr>
            <w:tcW w:w="0" w:type="auto"/>
            <w:vAlign w:val="center"/>
          </w:tcPr>
          <w:p w:rsidR="006D796C" w:rsidRPr="00A517F5" w:rsidRDefault="006D796C" w:rsidP="00066ED7">
            <w:pPr>
              <w:overflowPunct w:val="0"/>
              <w:autoSpaceDE w:val="0"/>
              <w:autoSpaceDN w:val="0"/>
              <w:adjustRightInd w:val="0"/>
              <w:spacing w:line="360" w:lineRule="auto"/>
              <w:textAlignment w:val="baseline"/>
              <w:rPr>
                <w:rFonts w:ascii="Arial" w:hAnsi="Arial" w:cs="Arial"/>
              </w:rPr>
            </w:pPr>
            <w:r w:rsidRPr="00A517F5">
              <w:rPr>
                <w:rFonts w:ascii="Arial" w:hAnsi="Arial" w:cs="Arial"/>
              </w:rPr>
              <w:t>Special Items</w:t>
            </w:r>
          </w:p>
        </w:tc>
        <w:tc>
          <w:tcPr>
            <w:tcW w:w="0" w:type="auto"/>
          </w:tcPr>
          <w:p w:rsidR="006D796C" w:rsidRPr="00A517F5" w:rsidRDefault="006D796C" w:rsidP="00066ED7">
            <w:pPr>
              <w:autoSpaceDE w:val="0"/>
              <w:autoSpaceDN w:val="0"/>
              <w:adjustRightInd w:val="0"/>
              <w:rPr>
                <w:rFonts w:ascii="Arial" w:hAnsi="Arial" w:cs="Arial"/>
                <w:color w:val="000000"/>
              </w:rPr>
            </w:pPr>
            <w:r w:rsidRPr="00A517F5">
              <w:rPr>
                <w:rFonts w:ascii="Arial" w:hAnsi="Arial" w:cs="Arial"/>
                <w:color w:val="000000"/>
              </w:rPr>
              <w:t>$         44,800</w:t>
            </w:r>
          </w:p>
        </w:tc>
        <w:tc>
          <w:tcPr>
            <w:tcW w:w="0" w:type="auto"/>
          </w:tcPr>
          <w:p w:rsidR="006D796C" w:rsidRPr="00A517F5" w:rsidRDefault="006D796C" w:rsidP="00066ED7">
            <w:pPr>
              <w:autoSpaceDE w:val="0"/>
              <w:autoSpaceDN w:val="0"/>
              <w:adjustRightInd w:val="0"/>
              <w:jc w:val="center"/>
              <w:rPr>
                <w:rFonts w:ascii="Arial" w:hAnsi="Arial" w:cs="Arial"/>
                <w:color w:val="000000"/>
              </w:rPr>
            </w:pPr>
            <w:r w:rsidRPr="00A517F5">
              <w:rPr>
                <w:rFonts w:ascii="Arial" w:hAnsi="Arial" w:cs="Arial"/>
                <w:color w:val="000000"/>
              </w:rPr>
              <w:t>0.1</w:t>
            </w:r>
          </w:p>
        </w:tc>
      </w:tr>
      <w:tr w:rsidR="006D796C" w:rsidRPr="00A517F5" w:rsidTr="00066ED7">
        <w:trPr>
          <w:trHeight w:val="270"/>
          <w:jc w:val="center"/>
        </w:trPr>
        <w:tc>
          <w:tcPr>
            <w:tcW w:w="0" w:type="auto"/>
            <w:tcBorders>
              <w:bottom w:val="single" w:sz="4" w:space="0" w:color="auto"/>
            </w:tcBorders>
            <w:vAlign w:val="center"/>
          </w:tcPr>
          <w:p w:rsidR="006D796C" w:rsidRPr="00A517F5" w:rsidRDefault="006D796C" w:rsidP="00066ED7">
            <w:pPr>
              <w:overflowPunct w:val="0"/>
              <w:autoSpaceDE w:val="0"/>
              <w:autoSpaceDN w:val="0"/>
              <w:adjustRightInd w:val="0"/>
              <w:jc w:val="center"/>
              <w:textAlignment w:val="baseline"/>
              <w:rPr>
                <w:rFonts w:ascii="Arial" w:hAnsi="Arial" w:cs="Arial"/>
              </w:rPr>
            </w:pPr>
            <w:r w:rsidRPr="00A517F5">
              <w:rPr>
                <w:rFonts w:ascii="Arial" w:hAnsi="Arial" w:cs="Arial"/>
              </w:rPr>
              <w:t>08</w:t>
            </w:r>
          </w:p>
        </w:tc>
        <w:tc>
          <w:tcPr>
            <w:tcW w:w="0" w:type="auto"/>
            <w:tcBorders>
              <w:bottom w:val="single" w:sz="4" w:space="0" w:color="auto"/>
            </w:tcBorders>
            <w:vAlign w:val="center"/>
          </w:tcPr>
          <w:p w:rsidR="006D796C" w:rsidRPr="00A517F5" w:rsidRDefault="006D796C" w:rsidP="00066ED7">
            <w:pPr>
              <w:overflowPunct w:val="0"/>
              <w:autoSpaceDE w:val="0"/>
              <w:autoSpaceDN w:val="0"/>
              <w:adjustRightInd w:val="0"/>
              <w:textAlignment w:val="baseline"/>
              <w:rPr>
                <w:rFonts w:ascii="Arial" w:hAnsi="Arial" w:cs="Arial"/>
              </w:rPr>
            </w:pPr>
            <w:r w:rsidRPr="00A517F5">
              <w:rPr>
                <w:rFonts w:ascii="Arial" w:hAnsi="Arial" w:cs="Arial"/>
              </w:rPr>
              <w:t>Special Items</w:t>
            </w:r>
          </w:p>
        </w:tc>
        <w:tc>
          <w:tcPr>
            <w:tcW w:w="0" w:type="auto"/>
            <w:tcBorders>
              <w:bottom w:val="single" w:sz="4" w:space="0" w:color="auto"/>
            </w:tcBorders>
          </w:tcPr>
          <w:p w:rsidR="006D796C" w:rsidRPr="00A517F5" w:rsidRDefault="006D796C" w:rsidP="00066ED7">
            <w:pPr>
              <w:autoSpaceDE w:val="0"/>
              <w:autoSpaceDN w:val="0"/>
              <w:adjustRightInd w:val="0"/>
              <w:rPr>
                <w:rFonts w:ascii="Arial" w:hAnsi="Arial" w:cs="Arial"/>
                <w:color w:val="000000"/>
              </w:rPr>
            </w:pPr>
            <w:r w:rsidRPr="00A517F5">
              <w:rPr>
                <w:rFonts w:ascii="Arial" w:hAnsi="Arial" w:cs="Arial"/>
                <w:color w:val="000000"/>
              </w:rPr>
              <w:t>$                  0</w:t>
            </w:r>
          </w:p>
        </w:tc>
        <w:tc>
          <w:tcPr>
            <w:tcW w:w="0" w:type="auto"/>
            <w:tcBorders>
              <w:bottom w:val="single" w:sz="4" w:space="0" w:color="auto"/>
            </w:tcBorders>
          </w:tcPr>
          <w:p w:rsidR="006D796C" w:rsidRPr="00A517F5" w:rsidRDefault="006D796C" w:rsidP="00066ED7">
            <w:pPr>
              <w:autoSpaceDE w:val="0"/>
              <w:autoSpaceDN w:val="0"/>
              <w:adjustRightInd w:val="0"/>
              <w:jc w:val="center"/>
              <w:rPr>
                <w:rFonts w:ascii="Arial" w:hAnsi="Arial" w:cs="Arial"/>
                <w:color w:val="000000"/>
              </w:rPr>
            </w:pPr>
            <w:r w:rsidRPr="00A517F5">
              <w:rPr>
                <w:rFonts w:ascii="Arial" w:hAnsi="Arial" w:cs="Arial"/>
                <w:color w:val="000000"/>
              </w:rPr>
              <w:t>0.0</w:t>
            </w:r>
          </w:p>
        </w:tc>
      </w:tr>
      <w:tr w:rsidR="006D796C" w:rsidRPr="00A517F5" w:rsidTr="00066ED7">
        <w:trPr>
          <w:jc w:val="center"/>
        </w:trPr>
        <w:tc>
          <w:tcPr>
            <w:tcW w:w="0" w:type="auto"/>
            <w:tcBorders>
              <w:top w:val="single" w:sz="4" w:space="0" w:color="auto"/>
            </w:tcBorders>
            <w:vAlign w:val="center"/>
          </w:tcPr>
          <w:p w:rsidR="006D796C" w:rsidRPr="00A517F5" w:rsidRDefault="006D796C" w:rsidP="00066ED7">
            <w:pPr>
              <w:overflowPunct w:val="0"/>
              <w:autoSpaceDE w:val="0"/>
              <w:autoSpaceDN w:val="0"/>
              <w:adjustRightInd w:val="0"/>
              <w:spacing w:before="120"/>
              <w:textAlignment w:val="baseline"/>
              <w:rPr>
                <w:rFonts w:ascii="Arial" w:hAnsi="Arial" w:cs="Arial"/>
              </w:rPr>
            </w:pPr>
          </w:p>
        </w:tc>
        <w:tc>
          <w:tcPr>
            <w:tcW w:w="0" w:type="auto"/>
            <w:tcBorders>
              <w:top w:val="single" w:sz="4" w:space="0" w:color="auto"/>
            </w:tcBorders>
            <w:vAlign w:val="center"/>
          </w:tcPr>
          <w:p w:rsidR="006D796C" w:rsidRPr="00A517F5" w:rsidRDefault="006D796C" w:rsidP="00066ED7">
            <w:pPr>
              <w:overflowPunct w:val="0"/>
              <w:autoSpaceDE w:val="0"/>
              <w:autoSpaceDN w:val="0"/>
              <w:adjustRightInd w:val="0"/>
              <w:spacing w:before="120"/>
              <w:jc w:val="right"/>
              <w:textAlignment w:val="baseline"/>
              <w:rPr>
                <w:rFonts w:ascii="Arial" w:hAnsi="Arial" w:cs="Arial"/>
                <w:b/>
              </w:rPr>
            </w:pPr>
            <w:r w:rsidRPr="00A517F5">
              <w:rPr>
                <w:rFonts w:ascii="Arial" w:hAnsi="Arial" w:cs="Arial"/>
                <w:b/>
              </w:rPr>
              <w:t>Total</w:t>
            </w:r>
          </w:p>
        </w:tc>
        <w:tc>
          <w:tcPr>
            <w:tcW w:w="0" w:type="auto"/>
            <w:tcBorders>
              <w:top w:val="single" w:sz="4" w:space="0" w:color="auto"/>
            </w:tcBorders>
            <w:vAlign w:val="center"/>
          </w:tcPr>
          <w:p w:rsidR="006D796C" w:rsidRPr="00A517F5" w:rsidRDefault="006D796C" w:rsidP="00066ED7">
            <w:pPr>
              <w:overflowPunct w:val="0"/>
              <w:autoSpaceDE w:val="0"/>
              <w:autoSpaceDN w:val="0"/>
              <w:adjustRightInd w:val="0"/>
              <w:spacing w:before="120"/>
              <w:textAlignment w:val="baseline"/>
              <w:rPr>
                <w:rFonts w:ascii="Arial" w:hAnsi="Arial" w:cs="Arial"/>
                <w:b/>
              </w:rPr>
            </w:pPr>
            <w:r w:rsidRPr="00A517F5">
              <w:rPr>
                <w:rFonts w:ascii="Arial" w:hAnsi="Arial" w:cs="Arial"/>
                <w:b/>
              </w:rPr>
              <w:t>$37,490,586</w:t>
            </w:r>
          </w:p>
        </w:tc>
        <w:tc>
          <w:tcPr>
            <w:tcW w:w="0" w:type="auto"/>
            <w:tcBorders>
              <w:top w:val="single" w:sz="4" w:space="0" w:color="auto"/>
            </w:tcBorders>
            <w:vAlign w:val="center"/>
          </w:tcPr>
          <w:p w:rsidR="006D796C" w:rsidRPr="00A517F5" w:rsidRDefault="006D796C" w:rsidP="00066ED7">
            <w:pPr>
              <w:overflowPunct w:val="0"/>
              <w:autoSpaceDE w:val="0"/>
              <w:autoSpaceDN w:val="0"/>
              <w:adjustRightInd w:val="0"/>
              <w:spacing w:before="120"/>
              <w:textAlignment w:val="baseline"/>
              <w:rPr>
                <w:rFonts w:ascii="Arial" w:hAnsi="Arial" w:cs="Arial"/>
              </w:rPr>
            </w:pPr>
          </w:p>
        </w:tc>
      </w:tr>
    </w:tbl>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r w:rsidRPr="00A517F5">
        <w:rPr>
          <w:rFonts w:ascii="Arial" w:hAnsi="Arial" w:cs="Arial"/>
        </w:rPr>
        <w:t>The following chart compares sub code 03 supplies and expenses of the admin and non-food accounts among the various restaurant areas.</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center"/>
        <w:textAlignment w:val="baseline"/>
        <w:rPr>
          <w:rFonts w:ascii="Arial" w:hAnsi="Arial" w:cs="Arial"/>
        </w:rPr>
      </w:pPr>
      <w:r w:rsidRPr="00A517F5">
        <w:rPr>
          <w:noProof/>
        </w:rPr>
        <w:drawing>
          <wp:inline distT="0" distB="0" distL="0" distR="0" wp14:anchorId="6CDEF2B8" wp14:editId="40126AEA">
            <wp:extent cx="4505325" cy="31146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r w:rsidRPr="00A517F5">
        <w:rPr>
          <w:rFonts w:ascii="Arial" w:hAnsi="Arial" w:cs="Arial"/>
        </w:rPr>
        <w:t>A&amp;AS selected a judgmental sample of 39 purchase orders from among the ledgers listed above in Table 1.  The expenditures ranged from $25.54 to $30,384.80.  The sample population from fiscal year 2014-15 covered the order class codes listed in Table 3.</w:t>
      </w:r>
    </w:p>
    <w:p w:rsidR="006D796C" w:rsidRPr="00A517F5" w:rsidRDefault="006D796C" w:rsidP="006D796C">
      <w:pPr>
        <w:overflowPunct w:val="0"/>
        <w:autoSpaceDE w:val="0"/>
        <w:autoSpaceDN w:val="0"/>
        <w:adjustRightInd w:val="0"/>
        <w:spacing w:line="360" w:lineRule="auto"/>
        <w:jc w:val="center"/>
        <w:textAlignment w:val="baseline"/>
        <w:rPr>
          <w:rFonts w:ascii="Arial" w:hAnsi="Arial" w:cs="Arial"/>
          <w:b/>
          <w:u w:val="single"/>
        </w:rPr>
      </w:pPr>
      <w:r w:rsidRPr="00A517F5">
        <w:rPr>
          <w:rFonts w:ascii="Arial" w:hAnsi="Arial" w:cs="Arial"/>
          <w:b/>
          <w:u w:val="single"/>
        </w:rPr>
        <w:t>Table 3</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tbl>
      <w:tblPr>
        <w:tblW w:w="0" w:type="auto"/>
        <w:jc w:val="center"/>
        <w:tblLook w:val="04A0" w:firstRow="1" w:lastRow="0" w:firstColumn="1" w:lastColumn="0" w:noHBand="0" w:noVBand="1"/>
      </w:tblPr>
      <w:tblGrid>
        <w:gridCol w:w="1906"/>
        <w:gridCol w:w="3029"/>
        <w:gridCol w:w="794"/>
        <w:gridCol w:w="1106"/>
      </w:tblGrid>
      <w:tr w:rsidR="006D796C" w:rsidRPr="00A517F5" w:rsidTr="00066ED7">
        <w:trPr>
          <w:trHeight w:val="255"/>
          <w:jc w:val="center"/>
        </w:trPr>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jc w:val="center"/>
              <w:rPr>
                <w:rFonts w:ascii="Arial" w:hAnsi="Arial" w:cs="Arial"/>
                <w:b/>
                <w:bCs/>
                <w:color w:val="000000"/>
                <w:sz w:val="20"/>
                <w:szCs w:val="20"/>
                <w:u w:val="single"/>
              </w:rPr>
            </w:pPr>
            <w:r w:rsidRPr="00A517F5">
              <w:rPr>
                <w:rFonts w:ascii="Arial" w:hAnsi="Arial" w:cs="Arial"/>
                <w:b/>
                <w:bCs/>
                <w:color w:val="000000"/>
                <w:sz w:val="20"/>
                <w:szCs w:val="20"/>
                <w:u w:val="single"/>
              </w:rPr>
              <w:t>Order Class Code</w:t>
            </w:r>
          </w:p>
        </w:tc>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rPr>
                <w:rFonts w:ascii="Arial" w:hAnsi="Arial" w:cs="Arial"/>
                <w:b/>
                <w:bCs/>
                <w:color w:val="000000"/>
                <w:sz w:val="20"/>
                <w:szCs w:val="20"/>
                <w:u w:val="single"/>
              </w:rPr>
            </w:pPr>
            <w:r w:rsidRPr="00A517F5">
              <w:rPr>
                <w:rFonts w:ascii="Arial" w:hAnsi="Arial" w:cs="Arial"/>
                <w:b/>
                <w:bCs/>
                <w:color w:val="000000"/>
                <w:sz w:val="20"/>
                <w:szCs w:val="20"/>
                <w:u w:val="single"/>
              </w:rPr>
              <w:t>Use</w:t>
            </w:r>
          </w:p>
        </w:tc>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jc w:val="center"/>
              <w:rPr>
                <w:rFonts w:ascii="Arial" w:hAnsi="Arial" w:cs="Arial"/>
                <w:b/>
                <w:bCs/>
                <w:color w:val="000000"/>
                <w:sz w:val="20"/>
                <w:szCs w:val="20"/>
                <w:u w:val="single"/>
              </w:rPr>
            </w:pPr>
            <w:r w:rsidRPr="00A517F5">
              <w:rPr>
                <w:rFonts w:ascii="Arial" w:hAnsi="Arial" w:cs="Arial"/>
                <w:b/>
                <w:bCs/>
                <w:color w:val="000000"/>
                <w:sz w:val="20"/>
                <w:szCs w:val="20"/>
                <w:u w:val="single"/>
              </w:rPr>
              <w:t>Count</w:t>
            </w:r>
          </w:p>
        </w:tc>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jc w:val="center"/>
              <w:rPr>
                <w:rFonts w:ascii="Arial" w:hAnsi="Arial" w:cs="Arial"/>
                <w:b/>
                <w:bCs/>
                <w:color w:val="000000"/>
                <w:sz w:val="20"/>
                <w:szCs w:val="20"/>
                <w:u w:val="single"/>
              </w:rPr>
            </w:pPr>
            <w:r w:rsidRPr="00A517F5">
              <w:rPr>
                <w:rFonts w:ascii="Arial" w:hAnsi="Arial" w:cs="Arial"/>
                <w:b/>
                <w:bCs/>
                <w:color w:val="000000"/>
                <w:sz w:val="20"/>
                <w:szCs w:val="20"/>
                <w:u w:val="single"/>
              </w:rPr>
              <w:t>Amount</w:t>
            </w:r>
          </w:p>
        </w:tc>
      </w:tr>
      <w:tr w:rsidR="006D796C" w:rsidRPr="00A517F5" w:rsidTr="00066ED7">
        <w:trPr>
          <w:trHeight w:val="255"/>
          <w:jc w:val="center"/>
        </w:trPr>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jc w:val="center"/>
              <w:rPr>
                <w:rFonts w:ascii="Arial" w:hAnsi="Arial" w:cs="Arial"/>
                <w:color w:val="000000"/>
                <w:sz w:val="20"/>
                <w:szCs w:val="20"/>
              </w:rPr>
            </w:pPr>
            <w:r w:rsidRPr="00A517F5">
              <w:rPr>
                <w:rFonts w:ascii="Arial" w:hAnsi="Arial" w:cs="Arial"/>
                <w:color w:val="000000"/>
                <w:sz w:val="20"/>
                <w:szCs w:val="20"/>
              </w:rPr>
              <w:t>A</w:t>
            </w:r>
          </w:p>
        </w:tc>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rPr>
                <w:rFonts w:ascii="Arial" w:hAnsi="Arial" w:cs="Arial"/>
                <w:color w:val="000000"/>
                <w:sz w:val="20"/>
                <w:szCs w:val="20"/>
              </w:rPr>
            </w:pPr>
            <w:r w:rsidRPr="00A517F5">
              <w:rPr>
                <w:rFonts w:ascii="Arial" w:hAnsi="Arial" w:cs="Arial"/>
                <w:color w:val="000000"/>
                <w:sz w:val="20"/>
                <w:szCs w:val="20"/>
              </w:rPr>
              <w:t>Agreement Release</w:t>
            </w:r>
          </w:p>
        </w:tc>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jc w:val="center"/>
              <w:rPr>
                <w:rFonts w:ascii="Arial" w:hAnsi="Arial" w:cs="Arial"/>
                <w:color w:val="000000"/>
                <w:sz w:val="20"/>
                <w:szCs w:val="20"/>
              </w:rPr>
            </w:pPr>
            <w:r w:rsidRPr="00A517F5">
              <w:rPr>
                <w:rFonts w:ascii="Arial" w:hAnsi="Arial" w:cs="Arial"/>
                <w:color w:val="000000"/>
                <w:sz w:val="20"/>
                <w:szCs w:val="20"/>
              </w:rPr>
              <w:t>13</w:t>
            </w:r>
          </w:p>
        </w:tc>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rPr>
                <w:rFonts w:ascii="Arial" w:hAnsi="Arial" w:cs="Arial"/>
                <w:color w:val="000000"/>
                <w:sz w:val="20"/>
                <w:szCs w:val="20"/>
              </w:rPr>
            </w:pPr>
            <w:r w:rsidRPr="00A517F5">
              <w:rPr>
                <w:rFonts w:ascii="Arial" w:hAnsi="Arial" w:cs="Arial"/>
                <w:color w:val="000000"/>
                <w:sz w:val="20"/>
                <w:szCs w:val="20"/>
              </w:rPr>
              <w:t xml:space="preserve"> $  74,365</w:t>
            </w:r>
          </w:p>
        </w:tc>
      </w:tr>
      <w:tr w:rsidR="006D796C" w:rsidRPr="00A517F5" w:rsidTr="00066ED7">
        <w:trPr>
          <w:trHeight w:val="255"/>
          <w:jc w:val="center"/>
        </w:trPr>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jc w:val="center"/>
              <w:rPr>
                <w:rFonts w:ascii="Arial" w:hAnsi="Arial" w:cs="Arial"/>
                <w:color w:val="000000"/>
                <w:sz w:val="20"/>
                <w:szCs w:val="20"/>
              </w:rPr>
            </w:pPr>
            <w:r w:rsidRPr="00A517F5">
              <w:rPr>
                <w:rFonts w:ascii="Arial" w:hAnsi="Arial" w:cs="Arial"/>
                <w:color w:val="000000"/>
                <w:sz w:val="20"/>
                <w:szCs w:val="20"/>
              </w:rPr>
              <w:t>F</w:t>
            </w:r>
          </w:p>
        </w:tc>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rPr>
                <w:rFonts w:ascii="Arial" w:hAnsi="Arial" w:cs="Arial"/>
                <w:color w:val="000000"/>
                <w:sz w:val="20"/>
                <w:szCs w:val="20"/>
              </w:rPr>
            </w:pPr>
            <w:r w:rsidRPr="00A517F5">
              <w:rPr>
                <w:rFonts w:ascii="Arial" w:hAnsi="Arial" w:cs="Arial"/>
                <w:color w:val="000000"/>
                <w:sz w:val="20"/>
                <w:szCs w:val="20"/>
              </w:rPr>
              <w:t>BruinBuy Contract Catalog Item</w:t>
            </w:r>
          </w:p>
        </w:tc>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jc w:val="center"/>
              <w:rPr>
                <w:rFonts w:ascii="Arial" w:hAnsi="Arial" w:cs="Arial"/>
                <w:color w:val="000000"/>
                <w:sz w:val="20"/>
                <w:szCs w:val="20"/>
              </w:rPr>
            </w:pPr>
            <w:r w:rsidRPr="00A517F5">
              <w:rPr>
                <w:rFonts w:ascii="Arial" w:hAnsi="Arial" w:cs="Arial"/>
                <w:color w:val="000000"/>
                <w:sz w:val="20"/>
                <w:szCs w:val="20"/>
              </w:rPr>
              <w:t>6</w:t>
            </w:r>
          </w:p>
        </w:tc>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rPr>
                <w:rFonts w:ascii="Arial" w:hAnsi="Arial" w:cs="Arial"/>
                <w:color w:val="000000"/>
                <w:sz w:val="20"/>
                <w:szCs w:val="20"/>
              </w:rPr>
            </w:pPr>
            <w:r w:rsidRPr="00A517F5">
              <w:rPr>
                <w:rFonts w:ascii="Arial" w:hAnsi="Arial" w:cs="Arial"/>
                <w:color w:val="000000"/>
                <w:sz w:val="20"/>
                <w:szCs w:val="20"/>
              </w:rPr>
              <w:t xml:space="preserve"> $    1,679</w:t>
            </w:r>
          </w:p>
        </w:tc>
      </w:tr>
      <w:tr w:rsidR="006D796C" w:rsidRPr="00A517F5" w:rsidTr="00066ED7">
        <w:trPr>
          <w:trHeight w:val="255"/>
          <w:jc w:val="center"/>
        </w:trPr>
        <w:tc>
          <w:tcPr>
            <w:tcW w:w="0" w:type="auto"/>
            <w:tcBorders>
              <w:top w:val="nil"/>
              <w:left w:val="nil"/>
              <w:bottom w:val="nil"/>
              <w:right w:val="nil"/>
            </w:tcBorders>
            <w:shd w:val="clear" w:color="auto" w:fill="auto"/>
            <w:noWrap/>
            <w:vAlign w:val="bottom"/>
          </w:tcPr>
          <w:p w:rsidR="006D796C" w:rsidRPr="00A517F5" w:rsidRDefault="006D796C" w:rsidP="00066ED7">
            <w:pPr>
              <w:spacing w:line="360" w:lineRule="auto"/>
              <w:jc w:val="center"/>
              <w:rPr>
                <w:rFonts w:ascii="Arial" w:hAnsi="Arial" w:cs="Arial"/>
                <w:color w:val="000000"/>
                <w:sz w:val="20"/>
                <w:szCs w:val="20"/>
              </w:rPr>
            </w:pPr>
            <w:r w:rsidRPr="00A517F5">
              <w:rPr>
                <w:rFonts w:ascii="Arial" w:hAnsi="Arial" w:cs="Arial"/>
                <w:color w:val="000000"/>
                <w:sz w:val="20"/>
                <w:szCs w:val="20"/>
              </w:rPr>
              <w:t>I</w:t>
            </w:r>
          </w:p>
        </w:tc>
        <w:tc>
          <w:tcPr>
            <w:tcW w:w="0" w:type="auto"/>
            <w:tcBorders>
              <w:top w:val="nil"/>
              <w:left w:val="nil"/>
              <w:bottom w:val="nil"/>
              <w:right w:val="nil"/>
            </w:tcBorders>
            <w:shd w:val="clear" w:color="auto" w:fill="auto"/>
            <w:noWrap/>
            <w:vAlign w:val="bottom"/>
          </w:tcPr>
          <w:p w:rsidR="006D796C" w:rsidRPr="00A517F5" w:rsidRDefault="006D796C" w:rsidP="00066ED7">
            <w:pPr>
              <w:spacing w:line="360" w:lineRule="auto"/>
              <w:rPr>
                <w:rFonts w:ascii="Arial" w:hAnsi="Arial" w:cs="Arial"/>
                <w:color w:val="000000"/>
                <w:sz w:val="20"/>
                <w:szCs w:val="20"/>
              </w:rPr>
            </w:pPr>
            <w:r w:rsidRPr="00A517F5">
              <w:rPr>
                <w:rFonts w:ascii="Arial" w:hAnsi="Arial" w:cs="Arial"/>
                <w:color w:val="000000"/>
                <w:sz w:val="20"/>
                <w:szCs w:val="20"/>
              </w:rPr>
              <w:t>BruinBuy Supplier Site Order</w:t>
            </w:r>
          </w:p>
        </w:tc>
        <w:tc>
          <w:tcPr>
            <w:tcW w:w="0" w:type="auto"/>
            <w:tcBorders>
              <w:top w:val="nil"/>
              <w:left w:val="nil"/>
              <w:bottom w:val="nil"/>
              <w:right w:val="nil"/>
            </w:tcBorders>
            <w:shd w:val="clear" w:color="auto" w:fill="auto"/>
            <w:noWrap/>
            <w:vAlign w:val="bottom"/>
          </w:tcPr>
          <w:p w:rsidR="006D796C" w:rsidRPr="00A517F5" w:rsidRDefault="006D796C" w:rsidP="00066ED7">
            <w:pPr>
              <w:spacing w:line="360" w:lineRule="auto"/>
              <w:jc w:val="center"/>
              <w:rPr>
                <w:rFonts w:ascii="Arial" w:hAnsi="Arial" w:cs="Arial"/>
                <w:color w:val="000000"/>
                <w:sz w:val="20"/>
                <w:szCs w:val="20"/>
              </w:rPr>
            </w:pPr>
            <w:r w:rsidRPr="00A517F5">
              <w:rPr>
                <w:rFonts w:ascii="Arial" w:hAnsi="Arial" w:cs="Arial"/>
                <w:color w:val="000000"/>
                <w:sz w:val="20"/>
                <w:szCs w:val="20"/>
              </w:rPr>
              <w:t>3</w:t>
            </w:r>
          </w:p>
        </w:tc>
        <w:tc>
          <w:tcPr>
            <w:tcW w:w="0" w:type="auto"/>
            <w:tcBorders>
              <w:top w:val="nil"/>
              <w:left w:val="nil"/>
              <w:bottom w:val="nil"/>
              <w:right w:val="nil"/>
            </w:tcBorders>
            <w:shd w:val="clear" w:color="auto" w:fill="auto"/>
            <w:noWrap/>
            <w:vAlign w:val="bottom"/>
          </w:tcPr>
          <w:p w:rsidR="006D796C" w:rsidRPr="00A517F5" w:rsidRDefault="006D796C" w:rsidP="00066ED7">
            <w:pPr>
              <w:spacing w:line="360" w:lineRule="auto"/>
              <w:rPr>
                <w:rFonts w:ascii="Arial" w:hAnsi="Arial" w:cs="Arial"/>
                <w:color w:val="000000"/>
                <w:sz w:val="20"/>
                <w:szCs w:val="20"/>
              </w:rPr>
            </w:pPr>
            <w:r w:rsidRPr="00A517F5">
              <w:rPr>
                <w:rFonts w:ascii="Arial" w:hAnsi="Arial" w:cs="Arial"/>
                <w:color w:val="000000"/>
                <w:sz w:val="20"/>
                <w:szCs w:val="20"/>
              </w:rPr>
              <w:t xml:space="preserve"> $       764</w:t>
            </w:r>
          </w:p>
        </w:tc>
      </w:tr>
      <w:tr w:rsidR="006D796C" w:rsidRPr="00A517F5" w:rsidTr="00066ED7">
        <w:trPr>
          <w:trHeight w:val="255"/>
          <w:jc w:val="center"/>
        </w:trPr>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jc w:val="center"/>
              <w:rPr>
                <w:rFonts w:ascii="Arial" w:hAnsi="Arial" w:cs="Arial"/>
                <w:color w:val="000000"/>
                <w:sz w:val="20"/>
                <w:szCs w:val="20"/>
              </w:rPr>
            </w:pPr>
            <w:r w:rsidRPr="00A517F5">
              <w:rPr>
                <w:rFonts w:ascii="Arial" w:hAnsi="Arial" w:cs="Arial"/>
                <w:color w:val="000000"/>
                <w:sz w:val="20"/>
                <w:szCs w:val="20"/>
              </w:rPr>
              <w:t>N</w:t>
            </w:r>
          </w:p>
        </w:tc>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rPr>
                <w:rFonts w:ascii="Arial" w:hAnsi="Arial" w:cs="Arial"/>
                <w:color w:val="000000"/>
                <w:sz w:val="20"/>
                <w:szCs w:val="20"/>
              </w:rPr>
            </w:pPr>
            <w:r w:rsidRPr="00A517F5">
              <w:rPr>
                <w:rFonts w:ascii="Arial" w:hAnsi="Arial" w:cs="Arial"/>
                <w:color w:val="000000"/>
                <w:sz w:val="20"/>
                <w:szCs w:val="20"/>
              </w:rPr>
              <w:t>Low-Value Order (LVO)</w:t>
            </w:r>
          </w:p>
        </w:tc>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jc w:val="center"/>
              <w:rPr>
                <w:rFonts w:ascii="Arial" w:hAnsi="Arial" w:cs="Arial"/>
                <w:color w:val="000000"/>
                <w:sz w:val="20"/>
                <w:szCs w:val="20"/>
              </w:rPr>
            </w:pPr>
            <w:r w:rsidRPr="00A517F5">
              <w:rPr>
                <w:rFonts w:ascii="Arial" w:hAnsi="Arial" w:cs="Arial"/>
                <w:color w:val="000000"/>
                <w:sz w:val="20"/>
                <w:szCs w:val="20"/>
              </w:rPr>
              <w:t>14</w:t>
            </w:r>
          </w:p>
        </w:tc>
        <w:tc>
          <w:tcPr>
            <w:tcW w:w="0" w:type="auto"/>
            <w:tcBorders>
              <w:top w:val="nil"/>
              <w:left w:val="nil"/>
              <w:bottom w:val="nil"/>
              <w:right w:val="nil"/>
            </w:tcBorders>
            <w:shd w:val="clear" w:color="auto" w:fill="auto"/>
            <w:noWrap/>
            <w:vAlign w:val="bottom"/>
            <w:hideMark/>
          </w:tcPr>
          <w:p w:rsidR="006D796C" w:rsidRPr="00A517F5" w:rsidRDefault="006D796C" w:rsidP="00066ED7">
            <w:pPr>
              <w:spacing w:line="360" w:lineRule="auto"/>
              <w:rPr>
                <w:rFonts w:ascii="Arial" w:hAnsi="Arial" w:cs="Arial"/>
                <w:color w:val="000000"/>
                <w:sz w:val="20"/>
                <w:szCs w:val="20"/>
              </w:rPr>
            </w:pPr>
            <w:r w:rsidRPr="00A517F5">
              <w:rPr>
                <w:rFonts w:ascii="Arial" w:hAnsi="Arial" w:cs="Arial"/>
                <w:color w:val="000000"/>
                <w:sz w:val="20"/>
                <w:szCs w:val="20"/>
              </w:rPr>
              <w:t xml:space="preserve"> $  17,456</w:t>
            </w:r>
          </w:p>
        </w:tc>
      </w:tr>
      <w:tr w:rsidR="006D796C" w:rsidRPr="00A517F5" w:rsidTr="00066ED7">
        <w:trPr>
          <w:trHeight w:val="255"/>
          <w:jc w:val="center"/>
        </w:trPr>
        <w:tc>
          <w:tcPr>
            <w:tcW w:w="0" w:type="auto"/>
            <w:tcBorders>
              <w:top w:val="nil"/>
              <w:left w:val="nil"/>
              <w:right w:val="nil"/>
            </w:tcBorders>
            <w:shd w:val="clear" w:color="auto" w:fill="auto"/>
            <w:noWrap/>
            <w:vAlign w:val="bottom"/>
          </w:tcPr>
          <w:p w:rsidR="006D796C" w:rsidRPr="00A517F5" w:rsidRDefault="006D796C" w:rsidP="00066ED7">
            <w:pPr>
              <w:spacing w:line="360" w:lineRule="auto"/>
              <w:jc w:val="center"/>
              <w:rPr>
                <w:rFonts w:ascii="Arial" w:hAnsi="Arial" w:cs="Arial"/>
                <w:color w:val="000000"/>
                <w:sz w:val="20"/>
                <w:szCs w:val="20"/>
              </w:rPr>
            </w:pPr>
            <w:r w:rsidRPr="00A517F5">
              <w:rPr>
                <w:rFonts w:ascii="Arial" w:hAnsi="Arial" w:cs="Arial"/>
                <w:color w:val="000000"/>
                <w:sz w:val="20"/>
                <w:szCs w:val="20"/>
              </w:rPr>
              <w:t>P</w:t>
            </w:r>
          </w:p>
        </w:tc>
        <w:tc>
          <w:tcPr>
            <w:tcW w:w="0" w:type="auto"/>
            <w:tcBorders>
              <w:top w:val="nil"/>
              <w:left w:val="nil"/>
              <w:right w:val="nil"/>
            </w:tcBorders>
            <w:shd w:val="clear" w:color="auto" w:fill="auto"/>
            <w:noWrap/>
            <w:vAlign w:val="bottom"/>
          </w:tcPr>
          <w:p w:rsidR="006D796C" w:rsidRPr="00A517F5" w:rsidRDefault="006D796C" w:rsidP="00066ED7">
            <w:pPr>
              <w:spacing w:line="360" w:lineRule="auto"/>
              <w:rPr>
                <w:rFonts w:ascii="Arial" w:hAnsi="Arial" w:cs="Arial"/>
                <w:color w:val="000000"/>
                <w:sz w:val="20"/>
                <w:szCs w:val="20"/>
              </w:rPr>
            </w:pPr>
            <w:r w:rsidRPr="00A517F5">
              <w:rPr>
                <w:rFonts w:ascii="Arial" w:hAnsi="Arial" w:cs="Arial"/>
                <w:color w:val="000000"/>
                <w:sz w:val="20"/>
                <w:szCs w:val="20"/>
              </w:rPr>
              <w:t>Purchase Order</w:t>
            </w:r>
          </w:p>
        </w:tc>
        <w:tc>
          <w:tcPr>
            <w:tcW w:w="0" w:type="auto"/>
            <w:tcBorders>
              <w:top w:val="nil"/>
              <w:left w:val="nil"/>
              <w:right w:val="nil"/>
            </w:tcBorders>
            <w:shd w:val="clear" w:color="auto" w:fill="auto"/>
            <w:noWrap/>
            <w:vAlign w:val="bottom"/>
          </w:tcPr>
          <w:p w:rsidR="006D796C" w:rsidRPr="00A517F5" w:rsidRDefault="006D796C" w:rsidP="00066ED7">
            <w:pPr>
              <w:spacing w:line="360" w:lineRule="auto"/>
              <w:jc w:val="center"/>
              <w:rPr>
                <w:rFonts w:ascii="Arial" w:hAnsi="Arial" w:cs="Arial"/>
                <w:color w:val="000000"/>
                <w:sz w:val="20"/>
                <w:szCs w:val="20"/>
              </w:rPr>
            </w:pPr>
            <w:r w:rsidRPr="00A517F5">
              <w:rPr>
                <w:rFonts w:ascii="Arial" w:hAnsi="Arial" w:cs="Arial"/>
                <w:color w:val="000000"/>
                <w:sz w:val="20"/>
                <w:szCs w:val="20"/>
              </w:rPr>
              <w:t>1</w:t>
            </w:r>
          </w:p>
        </w:tc>
        <w:tc>
          <w:tcPr>
            <w:tcW w:w="0" w:type="auto"/>
            <w:tcBorders>
              <w:top w:val="nil"/>
              <w:left w:val="nil"/>
              <w:right w:val="nil"/>
            </w:tcBorders>
            <w:shd w:val="clear" w:color="auto" w:fill="auto"/>
            <w:noWrap/>
            <w:vAlign w:val="bottom"/>
          </w:tcPr>
          <w:p w:rsidR="006D796C" w:rsidRPr="00A517F5" w:rsidRDefault="006D796C" w:rsidP="00066ED7">
            <w:pPr>
              <w:spacing w:line="360" w:lineRule="auto"/>
              <w:rPr>
                <w:rFonts w:ascii="Arial" w:hAnsi="Arial" w:cs="Arial"/>
                <w:color w:val="000000"/>
                <w:sz w:val="20"/>
                <w:szCs w:val="20"/>
              </w:rPr>
            </w:pPr>
            <w:r w:rsidRPr="00A517F5">
              <w:rPr>
                <w:rFonts w:ascii="Arial" w:hAnsi="Arial" w:cs="Arial"/>
                <w:color w:val="000000"/>
                <w:sz w:val="20"/>
                <w:szCs w:val="20"/>
              </w:rPr>
              <w:t xml:space="preserve"> $  20,114</w:t>
            </w:r>
          </w:p>
        </w:tc>
      </w:tr>
      <w:tr w:rsidR="006D796C" w:rsidRPr="00A517F5" w:rsidTr="00066ED7">
        <w:trPr>
          <w:trHeight w:val="255"/>
          <w:jc w:val="center"/>
        </w:trPr>
        <w:tc>
          <w:tcPr>
            <w:tcW w:w="0" w:type="auto"/>
            <w:tcBorders>
              <w:top w:val="nil"/>
              <w:left w:val="nil"/>
              <w:bottom w:val="single" w:sz="4" w:space="0" w:color="auto"/>
              <w:right w:val="nil"/>
            </w:tcBorders>
            <w:shd w:val="clear" w:color="auto" w:fill="auto"/>
            <w:noWrap/>
            <w:vAlign w:val="bottom"/>
            <w:hideMark/>
          </w:tcPr>
          <w:p w:rsidR="006D796C" w:rsidRPr="00A517F5" w:rsidRDefault="006D796C" w:rsidP="00066ED7">
            <w:pPr>
              <w:spacing w:line="360" w:lineRule="auto"/>
              <w:jc w:val="center"/>
              <w:rPr>
                <w:rFonts w:ascii="Arial" w:hAnsi="Arial" w:cs="Arial"/>
                <w:color w:val="000000"/>
                <w:sz w:val="20"/>
                <w:szCs w:val="20"/>
              </w:rPr>
            </w:pPr>
            <w:r w:rsidRPr="00A517F5">
              <w:rPr>
                <w:rFonts w:ascii="Arial" w:hAnsi="Arial" w:cs="Arial"/>
                <w:color w:val="000000"/>
                <w:sz w:val="20"/>
                <w:szCs w:val="20"/>
              </w:rPr>
              <w:t>Q</w:t>
            </w:r>
          </w:p>
        </w:tc>
        <w:tc>
          <w:tcPr>
            <w:tcW w:w="0" w:type="auto"/>
            <w:tcBorders>
              <w:top w:val="nil"/>
              <w:left w:val="nil"/>
              <w:bottom w:val="single" w:sz="4" w:space="0" w:color="auto"/>
              <w:right w:val="nil"/>
            </w:tcBorders>
            <w:shd w:val="clear" w:color="auto" w:fill="auto"/>
            <w:noWrap/>
            <w:vAlign w:val="bottom"/>
            <w:hideMark/>
          </w:tcPr>
          <w:p w:rsidR="006D796C" w:rsidRPr="00A517F5" w:rsidRDefault="006D796C" w:rsidP="00066ED7">
            <w:pPr>
              <w:spacing w:line="360" w:lineRule="auto"/>
              <w:rPr>
                <w:rFonts w:ascii="Arial" w:hAnsi="Arial" w:cs="Arial"/>
                <w:color w:val="000000"/>
                <w:sz w:val="20"/>
                <w:szCs w:val="20"/>
              </w:rPr>
            </w:pPr>
            <w:r w:rsidRPr="00A517F5">
              <w:rPr>
                <w:rFonts w:ascii="Arial" w:hAnsi="Arial" w:cs="Arial"/>
                <w:color w:val="000000"/>
                <w:sz w:val="20"/>
                <w:szCs w:val="20"/>
              </w:rPr>
              <w:t>Pcard Order</w:t>
            </w:r>
          </w:p>
        </w:tc>
        <w:tc>
          <w:tcPr>
            <w:tcW w:w="0" w:type="auto"/>
            <w:tcBorders>
              <w:top w:val="nil"/>
              <w:left w:val="nil"/>
              <w:bottom w:val="single" w:sz="4" w:space="0" w:color="auto"/>
              <w:right w:val="nil"/>
            </w:tcBorders>
            <w:shd w:val="clear" w:color="auto" w:fill="auto"/>
            <w:noWrap/>
            <w:vAlign w:val="bottom"/>
            <w:hideMark/>
          </w:tcPr>
          <w:p w:rsidR="006D796C" w:rsidRPr="00A517F5" w:rsidRDefault="006D796C" w:rsidP="00066ED7">
            <w:pPr>
              <w:spacing w:line="360" w:lineRule="auto"/>
              <w:jc w:val="center"/>
              <w:rPr>
                <w:rFonts w:ascii="Arial" w:hAnsi="Arial" w:cs="Arial"/>
                <w:color w:val="000000"/>
                <w:sz w:val="20"/>
                <w:szCs w:val="20"/>
              </w:rPr>
            </w:pPr>
            <w:r w:rsidRPr="00A517F5">
              <w:rPr>
                <w:rFonts w:ascii="Arial" w:hAnsi="Arial" w:cs="Arial"/>
                <w:color w:val="000000"/>
                <w:sz w:val="20"/>
                <w:szCs w:val="20"/>
              </w:rPr>
              <w:t>2</w:t>
            </w:r>
          </w:p>
        </w:tc>
        <w:tc>
          <w:tcPr>
            <w:tcW w:w="0" w:type="auto"/>
            <w:tcBorders>
              <w:top w:val="nil"/>
              <w:left w:val="nil"/>
              <w:bottom w:val="single" w:sz="4" w:space="0" w:color="auto"/>
              <w:right w:val="nil"/>
            </w:tcBorders>
            <w:shd w:val="clear" w:color="auto" w:fill="auto"/>
            <w:noWrap/>
            <w:vAlign w:val="bottom"/>
            <w:hideMark/>
          </w:tcPr>
          <w:p w:rsidR="006D796C" w:rsidRPr="00A517F5" w:rsidRDefault="006D796C" w:rsidP="00066ED7">
            <w:pPr>
              <w:spacing w:line="360" w:lineRule="auto"/>
              <w:rPr>
                <w:rFonts w:ascii="Arial" w:hAnsi="Arial" w:cs="Arial"/>
                <w:color w:val="000000"/>
                <w:sz w:val="20"/>
                <w:szCs w:val="20"/>
              </w:rPr>
            </w:pPr>
            <w:r w:rsidRPr="00A517F5">
              <w:rPr>
                <w:rFonts w:ascii="Arial" w:hAnsi="Arial" w:cs="Arial"/>
                <w:color w:val="000000"/>
                <w:sz w:val="20"/>
                <w:szCs w:val="20"/>
              </w:rPr>
              <w:t xml:space="preserve"> $    1,673 </w:t>
            </w:r>
          </w:p>
        </w:tc>
      </w:tr>
      <w:tr w:rsidR="006D796C" w:rsidRPr="00A517F5" w:rsidTr="00066ED7">
        <w:trPr>
          <w:trHeight w:val="255"/>
          <w:jc w:val="center"/>
        </w:trPr>
        <w:tc>
          <w:tcPr>
            <w:tcW w:w="0" w:type="auto"/>
            <w:tcBorders>
              <w:top w:val="single" w:sz="4" w:space="0" w:color="auto"/>
              <w:left w:val="nil"/>
              <w:bottom w:val="nil"/>
              <w:right w:val="nil"/>
            </w:tcBorders>
            <w:shd w:val="clear" w:color="auto" w:fill="auto"/>
            <w:noWrap/>
            <w:vAlign w:val="bottom"/>
            <w:hideMark/>
          </w:tcPr>
          <w:p w:rsidR="006D796C" w:rsidRPr="00A517F5" w:rsidRDefault="006D796C" w:rsidP="00066ED7">
            <w:pPr>
              <w:spacing w:line="360" w:lineRule="auto"/>
              <w:jc w:val="center"/>
              <w:rPr>
                <w:rFonts w:ascii="Arial" w:hAnsi="Arial" w:cs="Arial"/>
                <w:color w:val="000000"/>
                <w:sz w:val="20"/>
                <w:szCs w:val="20"/>
              </w:rPr>
            </w:pPr>
          </w:p>
        </w:tc>
        <w:tc>
          <w:tcPr>
            <w:tcW w:w="0" w:type="auto"/>
            <w:tcBorders>
              <w:top w:val="single" w:sz="4" w:space="0" w:color="auto"/>
              <w:left w:val="nil"/>
              <w:bottom w:val="nil"/>
              <w:right w:val="nil"/>
            </w:tcBorders>
            <w:shd w:val="clear" w:color="auto" w:fill="auto"/>
            <w:noWrap/>
            <w:vAlign w:val="bottom"/>
            <w:hideMark/>
          </w:tcPr>
          <w:p w:rsidR="006D796C" w:rsidRPr="00A517F5" w:rsidRDefault="006D796C" w:rsidP="00066ED7">
            <w:pPr>
              <w:spacing w:before="120" w:line="360" w:lineRule="auto"/>
              <w:jc w:val="right"/>
              <w:rPr>
                <w:rFonts w:ascii="Arial" w:hAnsi="Arial" w:cs="Arial"/>
                <w:b/>
                <w:bCs/>
                <w:color w:val="000000"/>
                <w:sz w:val="20"/>
                <w:szCs w:val="20"/>
              </w:rPr>
            </w:pPr>
            <w:r w:rsidRPr="00A517F5">
              <w:rPr>
                <w:rFonts w:ascii="Arial" w:hAnsi="Arial" w:cs="Arial"/>
                <w:b/>
                <w:bCs/>
                <w:color w:val="000000"/>
                <w:sz w:val="20"/>
                <w:szCs w:val="20"/>
              </w:rPr>
              <w:t>TOTAL</w:t>
            </w:r>
          </w:p>
        </w:tc>
        <w:tc>
          <w:tcPr>
            <w:tcW w:w="0" w:type="auto"/>
            <w:tcBorders>
              <w:top w:val="single" w:sz="4" w:space="0" w:color="auto"/>
              <w:left w:val="nil"/>
              <w:bottom w:val="nil"/>
              <w:right w:val="nil"/>
            </w:tcBorders>
            <w:shd w:val="clear" w:color="auto" w:fill="auto"/>
            <w:noWrap/>
            <w:vAlign w:val="bottom"/>
            <w:hideMark/>
          </w:tcPr>
          <w:p w:rsidR="006D796C" w:rsidRPr="00A517F5" w:rsidRDefault="006D796C" w:rsidP="00066ED7">
            <w:pPr>
              <w:spacing w:line="360" w:lineRule="auto"/>
              <w:jc w:val="center"/>
              <w:rPr>
                <w:rFonts w:ascii="Arial" w:hAnsi="Arial" w:cs="Arial"/>
                <w:b/>
                <w:color w:val="000000"/>
                <w:sz w:val="20"/>
                <w:szCs w:val="20"/>
              </w:rPr>
            </w:pPr>
            <w:r w:rsidRPr="00A517F5">
              <w:rPr>
                <w:rFonts w:ascii="Arial" w:hAnsi="Arial" w:cs="Arial"/>
                <w:b/>
                <w:color w:val="000000"/>
                <w:sz w:val="20"/>
                <w:szCs w:val="20"/>
              </w:rPr>
              <w:t>39</w:t>
            </w:r>
          </w:p>
        </w:tc>
        <w:tc>
          <w:tcPr>
            <w:tcW w:w="0" w:type="auto"/>
            <w:tcBorders>
              <w:top w:val="single" w:sz="4" w:space="0" w:color="auto"/>
              <w:left w:val="nil"/>
              <w:bottom w:val="nil"/>
              <w:right w:val="nil"/>
            </w:tcBorders>
            <w:shd w:val="clear" w:color="auto" w:fill="auto"/>
            <w:noWrap/>
            <w:vAlign w:val="bottom"/>
            <w:hideMark/>
          </w:tcPr>
          <w:p w:rsidR="006D796C" w:rsidRPr="00A517F5" w:rsidRDefault="006D796C" w:rsidP="00066ED7">
            <w:pPr>
              <w:spacing w:line="360" w:lineRule="auto"/>
              <w:rPr>
                <w:rFonts w:ascii="Arial" w:hAnsi="Arial" w:cs="Arial"/>
                <w:b/>
                <w:color w:val="000000"/>
                <w:sz w:val="20"/>
                <w:szCs w:val="20"/>
              </w:rPr>
            </w:pPr>
            <w:r w:rsidRPr="00A517F5">
              <w:rPr>
                <w:rFonts w:ascii="Arial" w:hAnsi="Arial" w:cs="Arial"/>
                <w:b/>
                <w:color w:val="000000"/>
                <w:sz w:val="20"/>
                <w:szCs w:val="20"/>
              </w:rPr>
              <w:t xml:space="preserve"> $116,051</w:t>
            </w:r>
          </w:p>
        </w:tc>
      </w:tr>
    </w:tbl>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spacing w:line="360" w:lineRule="auto"/>
        <w:jc w:val="both"/>
        <w:rPr>
          <w:rFonts w:ascii="Arial" w:hAnsi="Arial" w:cs="Arial"/>
        </w:rPr>
      </w:pPr>
      <w:r w:rsidRPr="00A517F5">
        <w:rPr>
          <w:rFonts w:ascii="Arial" w:hAnsi="Arial" w:cs="Arial"/>
        </w:rPr>
        <w:t>Supporting documentation for each invoice was requested from Dining Services and reviewed for the following attributes:</w:t>
      </w:r>
    </w:p>
    <w:p w:rsidR="006D796C" w:rsidRPr="00A517F5" w:rsidRDefault="006D796C" w:rsidP="006D796C">
      <w:pPr>
        <w:spacing w:line="360" w:lineRule="auto"/>
        <w:jc w:val="both"/>
        <w:rPr>
          <w:rFonts w:ascii="Arial" w:hAnsi="Arial" w:cs="Arial"/>
        </w:rPr>
      </w:pPr>
    </w:p>
    <w:p w:rsidR="006D796C" w:rsidRPr="00A517F5" w:rsidRDefault="006D796C" w:rsidP="006D796C">
      <w:pPr>
        <w:pStyle w:val="ListParagraph"/>
        <w:numPr>
          <w:ilvl w:val="0"/>
          <w:numId w:val="3"/>
        </w:numPr>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A517F5">
        <w:rPr>
          <w:rFonts w:ascii="Arial" w:hAnsi="Arial" w:cs="Arial"/>
          <w:sz w:val="24"/>
          <w:szCs w:val="24"/>
        </w:rPr>
        <w:t>P</w:t>
      </w:r>
      <w:r w:rsidRPr="00A517F5">
        <w:rPr>
          <w:rFonts w:ascii="Arial" w:hAnsi="Arial"/>
          <w:sz w:val="24"/>
        </w:rPr>
        <w:t>u</w:t>
      </w:r>
      <w:r w:rsidRPr="00A517F5">
        <w:rPr>
          <w:rFonts w:ascii="Arial" w:hAnsi="Arial" w:cs="Arial"/>
          <w:sz w:val="24"/>
          <w:szCs w:val="24"/>
        </w:rPr>
        <w:t>rchases were authorized.</w:t>
      </w:r>
    </w:p>
    <w:p w:rsidR="006D796C" w:rsidRPr="00A517F5" w:rsidRDefault="006D796C" w:rsidP="006D796C">
      <w:pPr>
        <w:pStyle w:val="ListParagraph"/>
        <w:numPr>
          <w:ilvl w:val="0"/>
          <w:numId w:val="3"/>
        </w:numPr>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A517F5">
        <w:rPr>
          <w:rFonts w:ascii="Arial" w:hAnsi="Arial" w:cs="Arial"/>
          <w:sz w:val="24"/>
          <w:szCs w:val="24"/>
        </w:rPr>
        <w:t>Invoices were approved by management.</w:t>
      </w:r>
    </w:p>
    <w:p w:rsidR="006D796C" w:rsidRPr="00A517F5" w:rsidRDefault="006D796C" w:rsidP="006D796C">
      <w:pPr>
        <w:pStyle w:val="ListParagraph"/>
        <w:numPr>
          <w:ilvl w:val="0"/>
          <w:numId w:val="3"/>
        </w:numPr>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A517F5">
        <w:rPr>
          <w:rFonts w:ascii="Arial" w:hAnsi="Arial" w:cs="Arial"/>
          <w:sz w:val="24"/>
          <w:szCs w:val="24"/>
        </w:rPr>
        <w:t>Purchases were appropriate and made through the correct mechanism.</w:t>
      </w:r>
    </w:p>
    <w:p w:rsidR="006D796C" w:rsidRPr="00A517F5" w:rsidRDefault="006D796C" w:rsidP="006D796C">
      <w:pPr>
        <w:pStyle w:val="ListParagraph"/>
        <w:numPr>
          <w:ilvl w:val="0"/>
          <w:numId w:val="3"/>
        </w:numPr>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A517F5">
        <w:rPr>
          <w:rFonts w:ascii="Arial" w:hAnsi="Arial" w:cs="Arial"/>
          <w:sz w:val="24"/>
          <w:szCs w:val="24"/>
        </w:rPr>
        <w:t>Expenditures were recorded correctly.</w:t>
      </w:r>
    </w:p>
    <w:p w:rsidR="006D796C" w:rsidRPr="00A517F5" w:rsidRDefault="006D796C" w:rsidP="006D796C">
      <w:pPr>
        <w:pStyle w:val="ListParagraph"/>
        <w:numPr>
          <w:ilvl w:val="0"/>
          <w:numId w:val="3"/>
        </w:numPr>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A517F5">
        <w:rPr>
          <w:rFonts w:ascii="Arial" w:hAnsi="Arial" w:cs="Arial"/>
          <w:sz w:val="24"/>
          <w:szCs w:val="24"/>
        </w:rPr>
        <w:t>Post Authorization Notifications (PANs) were read by all mandatory reviewers, and read within 5 days by at least one of the mandatory reviewers.</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r w:rsidRPr="00A517F5">
        <w:rPr>
          <w:rFonts w:ascii="Arial" w:hAnsi="Arial" w:cs="Arial"/>
        </w:rPr>
        <w:t>The following were noted:</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pStyle w:val="ListParagraph"/>
        <w:numPr>
          <w:ilvl w:val="0"/>
          <w:numId w:val="4"/>
        </w:numPr>
        <w:overflowPunct w:val="0"/>
        <w:autoSpaceDE w:val="0"/>
        <w:autoSpaceDN w:val="0"/>
        <w:adjustRightInd w:val="0"/>
        <w:spacing w:after="0" w:line="360" w:lineRule="auto"/>
        <w:ind w:left="547" w:hanging="547"/>
        <w:jc w:val="both"/>
        <w:textAlignment w:val="baseline"/>
        <w:rPr>
          <w:rFonts w:ascii="Arial" w:eastAsia="Times New Roman" w:hAnsi="Arial" w:cs="Arial"/>
          <w:sz w:val="24"/>
          <w:szCs w:val="24"/>
          <w:u w:val="single"/>
        </w:rPr>
      </w:pPr>
      <w:r w:rsidRPr="00A517F5">
        <w:rPr>
          <w:rFonts w:ascii="Arial" w:eastAsia="Times New Roman" w:hAnsi="Arial" w:cs="Arial"/>
          <w:sz w:val="24"/>
          <w:szCs w:val="24"/>
          <w:u w:val="single"/>
        </w:rPr>
        <w:t>Invoice Approvals</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u w:val="single"/>
        </w:rPr>
      </w:pPr>
    </w:p>
    <w:p w:rsidR="006D796C" w:rsidRPr="00A517F5" w:rsidRDefault="006D796C" w:rsidP="006D796C">
      <w:pPr>
        <w:overflowPunct w:val="0"/>
        <w:autoSpaceDE w:val="0"/>
        <w:autoSpaceDN w:val="0"/>
        <w:adjustRightInd w:val="0"/>
        <w:spacing w:line="360" w:lineRule="auto"/>
        <w:ind w:left="547"/>
        <w:jc w:val="both"/>
        <w:textAlignment w:val="baseline"/>
        <w:rPr>
          <w:rFonts w:ascii="Arial" w:hAnsi="Arial" w:cs="Arial"/>
        </w:rPr>
      </w:pPr>
      <w:r w:rsidRPr="00A517F5">
        <w:rPr>
          <w:rFonts w:ascii="Arial" w:hAnsi="Arial" w:cs="Arial"/>
        </w:rPr>
        <w:t>Based on management’s description of the non-food purchasing process and controls, A&amp;AS reviewed selected invoices for two signatures to verify that these documents were approved before being submitted for processing to the Dining Services Central Office (DSCO).  Of the 39 transactions reviewed, 16 invoices either lacked sufficient approval by restaurant management, or there was no evidence available for A&amp;AS to verify that management approved the purchase.  When invoices are not properly approved by management, the organization is exposed to a greater risk of unauthorized purchases and misuse of University funds.</w:t>
      </w:r>
    </w:p>
    <w:p w:rsidR="006D796C" w:rsidRPr="00A517F5" w:rsidRDefault="006D796C" w:rsidP="006D796C">
      <w:pPr>
        <w:overflowPunct w:val="0"/>
        <w:autoSpaceDE w:val="0"/>
        <w:autoSpaceDN w:val="0"/>
        <w:adjustRightInd w:val="0"/>
        <w:spacing w:line="360" w:lineRule="auto"/>
        <w:ind w:left="547"/>
        <w:jc w:val="both"/>
        <w:textAlignment w:val="baseline"/>
        <w:rPr>
          <w:rFonts w:ascii="Arial" w:hAnsi="Arial" w:cs="Arial"/>
        </w:rPr>
      </w:pPr>
    </w:p>
    <w:p w:rsidR="006D796C" w:rsidRDefault="006D796C" w:rsidP="006D796C">
      <w:pPr>
        <w:overflowPunct w:val="0"/>
        <w:autoSpaceDE w:val="0"/>
        <w:autoSpaceDN w:val="0"/>
        <w:adjustRightInd w:val="0"/>
        <w:spacing w:line="360" w:lineRule="auto"/>
        <w:ind w:left="547"/>
        <w:jc w:val="both"/>
        <w:textAlignment w:val="baseline"/>
        <w:rPr>
          <w:rFonts w:ascii="Arial" w:hAnsi="Arial" w:cs="Arial"/>
        </w:rPr>
      </w:pPr>
      <w:r w:rsidRPr="00A517F5">
        <w:rPr>
          <w:rFonts w:ascii="Arial" w:hAnsi="Arial" w:cs="Arial"/>
          <w:u w:val="single"/>
        </w:rPr>
        <w:t>Recommendation</w:t>
      </w:r>
      <w:r w:rsidRPr="00A517F5">
        <w:rPr>
          <w:rFonts w:ascii="Arial" w:hAnsi="Arial" w:cs="Arial"/>
        </w:rPr>
        <w:t>:  Restaurant management should ensure that all invoices are properly approved and documented (i.e., signed and dated) before being processed for payment.</w:t>
      </w:r>
    </w:p>
    <w:p w:rsidR="006D796C" w:rsidRDefault="006D796C" w:rsidP="006D796C">
      <w:pPr>
        <w:overflowPunct w:val="0"/>
        <w:autoSpaceDE w:val="0"/>
        <w:autoSpaceDN w:val="0"/>
        <w:adjustRightInd w:val="0"/>
        <w:spacing w:line="360" w:lineRule="auto"/>
        <w:ind w:left="547"/>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ind w:left="547"/>
        <w:jc w:val="both"/>
        <w:textAlignment w:val="baseline"/>
        <w:rPr>
          <w:rFonts w:ascii="Arial" w:hAnsi="Arial" w:cs="Arial"/>
        </w:rPr>
      </w:pPr>
      <w:r w:rsidRPr="008343FD">
        <w:rPr>
          <w:rFonts w:ascii="Arial" w:hAnsi="Arial" w:cs="Arial"/>
          <w:u w:val="single"/>
        </w:rPr>
        <w:t>Response</w:t>
      </w:r>
      <w:r>
        <w:rPr>
          <w:rFonts w:ascii="Arial" w:hAnsi="Arial" w:cs="Arial"/>
        </w:rPr>
        <w:t xml:space="preserve">:  </w:t>
      </w:r>
      <w:r w:rsidR="002419AB" w:rsidRPr="002419AB">
        <w:rPr>
          <w:rFonts w:ascii="Arial" w:hAnsi="Arial" w:cs="Arial"/>
        </w:rPr>
        <w:t xml:space="preserve">Effectively immediately, the Dining Services Business Manager has reminded restaurant General Managers of the requirement to sign invoices to indicate approval.  Dining Services Central Office Accounting Staff will also continue to audit approval signatures, and follow-up with restaurant General Managers as necessary.     </w:t>
      </w:r>
    </w:p>
    <w:p w:rsidR="006D796C" w:rsidRDefault="006D796C" w:rsidP="006D796C">
      <w:pPr>
        <w:overflowPunct w:val="0"/>
        <w:autoSpaceDE w:val="0"/>
        <w:autoSpaceDN w:val="0"/>
        <w:adjustRightInd w:val="0"/>
        <w:spacing w:line="360" w:lineRule="auto"/>
        <w:ind w:left="547"/>
        <w:jc w:val="both"/>
        <w:textAlignment w:val="baseline"/>
        <w:rPr>
          <w:rFonts w:ascii="Arial" w:hAnsi="Arial" w:cs="Arial"/>
        </w:rPr>
      </w:pPr>
    </w:p>
    <w:p w:rsidR="00066ED7" w:rsidRDefault="00066ED7" w:rsidP="006D796C">
      <w:pPr>
        <w:overflowPunct w:val="0"/>
        <w:autoSpaceDE w:val="0"/>
        <w:autoSpaceDN w:val="0"/>
        <w:adjustRightInd w:val="0"/>
        <w:spacing w:line="360" w:lineRule="auto"/>
        <w:ind w:left="547"/>
        <w:jc w:val="both"/>
        <w:textAlignment w:val="baseline"/>
        <w:rPr>
          <w:rFonts w:ascii="Arial" w:hAnsi="Arial" w:cs="Arial"/>
        </w:rPr>
      </w:pPr>
    </w:p>
    <w:p w:rsidR="00066ED7" w:rsidRDefault="00066ED7" w:rsidP="006D796C">
      <w:pPr>
        <w:overflowPunct w:val="0"/>
        <w:autoSpaceDE w:val="0"/>
        <w:autoSpaceDN w:val="0"/>
        <w:adjustRightInd w:val="0"/>
        <w:spacing w:line="360" w:lineRule="auto"/>
        <w:ind w:left="547"/>
        <w:jc w:val="both"/>
        <w:textAlignment w:val="baseline"/>
        <w:rPr>
          <w:rFonts w:ascii="Arial" w:hAnsi="Arial" w:cs="Arial"/>
        </w:rPr>
      </w:pPr>
    </w:p>
    <w:p w:rsidR="00066ED7" w:rsidRPr="00A517F5" w:rsidRDefault="00066ED7" w:rsidP="006D796C">
      <w:pPr>
        <w:overflowPunct w:val="0"/>
        <w:autoSpaceDE w:val="0"/>
        <w:autoSpaceDN w:val="0"/>
        <w:adjustRightInd w:val="0"/>
        <w:spacing w:line="360" w:lineRule="auto"/>
        <w:ind w:left="547"/>
        <w:jc w:val="both"/>
        <w:textAlignment w:val="baseline"/>
        <w:rPr>
          <w:rFonts w:ascii="Arial" w:hAnsi="Arial" w:cs="Arial"/>
        </w:rPr>
      </w:pPr>
    </w:p>
    <w:p w:rsidR="006D796C" w:rsidRPr="00A517F5" w:rsidRDefault="006D796C" w:rsidP="006D796C">
      <w:pPr>
        <w:pStyle w:val="ListParagraph"/>
        <w:numPr>
          <w:ilvl w:val="0"/>
          <w:numId w:val="4"/>
        </w:numPr>
        <w:overflowPunct w:val="0"/>
        <w:autoSpaceDE w:val="0"/>
        <w:autoSpaceDN w:val="0"/>
        <w:adjustRightInd w:val="0"/>
        <w:spacing w:after="0" w:line="360" w:lineRule="auto"/>
        <w:ind w:left="547" w:hanging="547"/>
        <w:jc w:val="both"/>
        <w:textAlignment w:val="baseline"/>
        <w:rPr>
          <w:rFonts w:ascii="Arial" w:eastAsia="Times New Roman" w:hAnsi="Arial" w:cs="Arial"/>
          <w:sz w:val="24"/>
          <w:szCs w:val="24"/>
          <w:u w:val="single"/>
        </w:rPr>
      </w:pPr>
      <w:r w:rsidRPr="00A517F5">
        <w:rPr>
          <w:rFonts w:ascii="Arial" w:eastAsia="Times New Roman" w:hAnsi="Arial" w:cs="Arial"/>
          <w:sz w:val="24"/>
          <w:szCs w:val="24"/>
          <w:u w:val="single"/>
        </w:rPr>
        <w:t>Low Value Orders</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u w:val="single"/>
        </w:rPr>
      </w:pPr>
    </w:p>
    <w:p w:rsidR="006D796C" w:rsidRPr="00A517F5" w:rsidRDefault="006D796C" w:rsidP="006D796C">
      <w:pPr>
        <w:overflowPunct w:val="0"/>
        <w:autoSpaceDE w:val="0"/>
        <w:autoSpaceDN w:val="0"/>
        <w:adjustRightInd w:val="0"/>
        <w:spacing w:line="360" w:lineRule="auto"/>
        <w:ind w:left="547"/>
        <w:jc w:val="both"/>
        <w:textAlignment w:val="baseline"/>
        <w:rPr>
          <w:rFonts w:ascii="Arial" w:hAnsi="Arial" w:cs="Arial"/>
        </w:rPr>
      </w:pPr>
      <w:r w:rsidRPr="00A517F5">
        <w:rPr>
          <w:rFonts w:ascii="Arial" w:hAnsi="Arial" w:cs="Arial"/>
        </w:rPr>
        <w:t>Dining Services processed four transactions as LVOs with vendors that had long-standing blanket agreements with the University.  According to management, these agreements may have been low or out of funds at the time of the purchase.  Campus Purchasing should have been notified of the need for additional funds on the blanket agreement.  According to Campus Purchasing, it is the department’s responsibility to monitor its blanket agreements, which are intended to provide goods and services at the best overall value, and to protect the University by applying appropriate terms and conditions of purchase.</w:t>
      </w:r>
    </w:p>
    <w:p w:rsidR="006D796C" w:rsidRPr="00A517F5" w:rsidRDefault="006D796C" w:rsidP="006D796C">
      <w:pPr>
        <w:overflowPunct w:val="0"/>
        <w:autoSpaceDE w:val="0"/>
        <w:autoSpaceDN w:val="0"/>
        <w:adjustRightInd w:val="0"/>
        <w:spacing w:line="360" w:lineRule="auto"/>
        <w:ind w:left="547"/>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ind w:left="547"/>
        <w:jc w:val="both"/>
        <w:textAlignment w:val="baseline"/>
        <w:rPr>
          <w:rFonts w:ascii="Arial" w:hAnsi="Arial" w:cs="Arial"/>
        </w:rPr>
      </w:pPr>
      <w:r w:rsidRPr="00A517F5">
        <w:rPr>
          <w:rFonts w:ascii="Arial" w:hAnsi="Arial" w:cs="Arial"/>
        </w:rPr>
        <w:t>Additionally:</w:t>
      </w:r>
    </w:p>
    <w:p w:rsidR="006D796C" w:rsidRPr="00A517F5" w:rsidRDefault="006D796C" w:rsidP="006D796C">
      <w:pPr>
        <w:overflowPunct w:val="0"/>
        <w:autoSpaceDE w:val="0"/>
        <w:autoSpaceDN w:val="0"/>
        <w:adjustRightInd w:val="0"/>
        <w:spacing w:line="360" w:lineRule="auto"/>
        <w:ind w:left="547"/>
        <w:jc w:val="both"/>
        <w:textAlignment w:val="baseline"/>
        <w:rPr>
          <w:rFonts w:ascii="Arial" w:hAnsi="Arial" w:cs="Arial"/>
        </w:rPr>
      </w:pPr>
    </w:p>
    <w:p w:rsidR="006D796C" w:rsidRPr="00A517F5" w:rsidRDefault="006D796C" w:rsidP="006D796C">
      <w:pPr>
        <w:pStyle w:val="ListParagraph"/>
        <w:numPr>
          <w:ilvl w:val="0"/>
          <w:numId w:val="5"/>
        </w:numPr>
        <w:spacing w:line="360" w:lineRule="auto"/>
        <w:ind w:left="1080" w:hanging="533"/>
        <w:jc w:val="both"/>
        <w:rPr>
          <w:rFonts w:ascii="Arial" w:hAnsi="Arial" w:cs="Arial"/>
          <w:sz w:val="24"/>
          <w:szCs w:val="24"/>
        </w:rPr>
      </w:pPr>
      <w:r w:rsidRPr="00A517F5">
        <w:rPr>
          <w:rFonts w:ascii="Arial" w:hAnsi="Arial" w:cs="Arial"/>
          <w:sz w:val="24"/>
          <w:szCs w:val="24"/>
        </w:rPr>
        <w:t>Covel procured maintenance services on a broiler using an LVO totaling $438 in March 2015.  Per Attachment A of UCLA Policies 740 and 741, a requisition is required for service, repairs or maintenance; these items may not be purchased using a LVO.</w:t>
      </w:r>
    </w:p>
    <w:p w:rsidR="006D796C" w:rsidRPr="00A517F5" w:rsidRDefault="006D796C" w:rsidP="006D796C">
      <w:pPr>
        <w:pStyle w:val="ListParagraph"/>
        <w:spacing w:line="360" w:lineRule="auto"/>
        <w:ind w:left="907"/>
        <w:jc w:val="both"/>
        <w:rPr>
          <w:rFonts w:ascii="Arial" w:hAnsi="Arial" w:cs="Arial"/>
          <w:sz w:val="24"/>
          <w:szCs w:val="24"/>
        </w:rPr>
      </w:pPr>
    </w:p>
    <w:p w:rsidR="006D796C" w:rsidRPr="00A517F5" w:rsidRDefault="006D796C" w:rsidP="006D796C">
      <w:pPr>
        <w:pStyle w:val="ListParagraph"/>
        <w:numPr>
          <w:ilvl w:val="0"/>
          <w:numId w:val="5"/>
        </w:numPr>
        <w:spacing w:line="360" w:lineRule="auto"/>
        <w:ind w:left="1080" w:hanging="533"/>
        <w:jc w:val="both"/>
        <w:rPr>
          <w:rFonts w:ascii="Arial" w:hAnsi="Arial" w:cs="Arial"/>
          <w:sz w:val="24"/>
          <w:szCs w:val="24"/>
        </w:rPr>
      </w:pPr>
      <w:r w:rsidRPr="00A517F5">
        <w:rPr>
          <w:rFonts w:ascii="Arial" w:hAnsi="Arial" w:cs="Arial"/>
          <w:sz w:val="24"/>
          <w:szCs w:val="24"/>
        </w:rPr>
        <w:t>DeNeve Lunch on the Go purchased portable radios using an LVO totaling $2,106 in March 2015.  Rieber also purchased radio earpieces using an LVO totaling $449 in August 2014.  Per Attachment A of UCLA Policies 740 and 741, a requisition is required for telecommunication systems; these items may not be purchased using a LVO.</w:t>
      </w:r>
    </w:p>
    <w:p w:rsidR="006D796C" w:rsidRPr="00A517F5" w:rsidRDefault="006D796C" w:rsidP="006D796C">
      <w:pPr>
        <w:overflowPunct w:val="0"/>
        <w:autoSpaceDE w:val="0"/>
        <w:autoSpaceDN w:val="0"/>
        <w:adjustRightInd w:val="0"/>
        <w:spacing w:line="360" w:lineRule="auto"/>
        <w:ind w:left="540"/>
        <w:contextualSpacing/>
        <w:jc w:val="both"/>
        <w:textAlignment w:val="baseline"/>
        <w:rPr>
          <w:rFonts w:ascii="Arial" w:hAnsi="Arial" w:cs="Arial"/>
        </w:rPr>
      </w:pPr>
    </w:p>
    <w:p w:rsidR="006D796C" w:rsidRDefault="006D796C" w:rsidP="006D796C">
      <w:pPr>
        <w:spacing w:line="360" w:lineRule="auto"/>
        <w:ind w:left="540"/>
        <w:jc w:val="both"/>
        <w:rPr>
          <w:rFonts w:ascii="Arial" w:hAnsi="Arial" w:cs="Arial"/>
        </w:rPr>
      </w:pPr>
      <w:r w:rsidRPr="00A517F5">
        <w:rPr>
          <w:rFonts w:ascii="Arial" w:hAnsi="Arial" w:cs="Arial"/>
          <w:u w:val="single"/>
        </w:rPr>
        <w:t>Recommendation</w:t>
      </w:r>
      <w:r w:rsidRPr="00A517F5">
        <w:rPr>
          <w:rFonts w:ascii="Arial" w:hAnsi="Arial" w:cs="Arial"/>
        </w:rPr>
        <w:t>:  Management should monitor the department’s blanket agreements and anticipate the need for additional funds to minimize the unnecessary use of LVOs to purchase goods.  Management should also improve compliance with University policies and procedures by working with Campus Purchasing for the procurement items that require a requisition.</w:t>
      </w:r>
    </w:p>
    <w:p w:rsidR="006D796C" w:rsidRDefault="006D796C" w:rsidP="006D796C">
      <w:pPr>
        <w:spacing w:line="360" w:lineRule="auto"/>
        <w:ind w:left="540"/>
        <w:jc w:val="both"/>
        <w:rPr>
          <w:rFonts w:ascii="Arial" w:hAnsi="Arial" w:cs="Arial"/>
        </w:rPr>
      </w:pPr>
    </w:p>
    <w:p w:rsidR="006D796C" w:rsidRPr="00A517F5" w:rsidRDefault="006D796C" w:rsidP="006D796C">
      <w:pPr>
        <w:spacing w:line="360" w:lineRule="auto"/>
        <w:ind w:left="540"/>
        <w:jc w:val="both"/>
        <w:rPr>
          <w:rFonts w:ascii="Arial" w:hAnsi="Arial" w:cs="Arial"/>
        </w:rPr>
      </w:pPr>
      <w:r w:rsidRPr="008343FD">
        <w:rPr>
          <w:rFonts w:ascii="Arial" w:hAnsi="Arial" w:cs="Arial"/>
          <w:u w:val="single"/>
        </w:rPr>
        <w:t>Response</w:t>
      </w:r>
      <w:r>
        <w:rPr>
          <w:rFonts w:ascii="Arial" w:hAnsi="Arial" w:cs="Arial"/>
        </w:rPr>
        <w:t xml:space="preserve">:  </w:t>
      </w:r>
      <w:r w:rsidR="00D43B00" w:rsidRPr="00D43B00">
        <w:rPr>
          <w:rFonts w:ascii="Arial" w:hAnsi="Arial" w:cs="Arial"/>
        </w:rPr>
        <w:t xml:space="preserve">Effectively immediately, the Dining Services Business Manager will monitor the department’s blanket agreements to ensure that they have appropriate funding for the purchase of goods from regular vendors to minimize the unnecessary use of LVOs to purchase goods.  Management will also work with Campus Purchasing to improve compliance with University policy and procedures for the procurement of items that require a requisition.       </w:t>
      </w:r>
    </w:p>
    <w:p w:rsidR="006D796C" w:rsidRPr="00A517F5" w:rsidRDefault="006D796C" w:rsidP="006D796C">
      <w:pPr>
        <w:spacing w:line="360" w:lineRule="auto"/>
        <w:ind w:left="540"/>
        <w:jc w:val="both"/>
        <w:rPr>
          <w:rFonts w:ascii="Arial" w:hAnsi="Arial" w:cs="Arial"/>
        </w:rPr>
      </w:pPr>
    </w:p>
    <w:p w:rsidR="006D796C" w:rsidRPr="00A517F5" w:rsidRDefault="006D796C" w:rsidP="006D796C">
      <w:pPr>
        <w:pStyle w:val="ListParagraph"/>
        <w:numPr>
          <w:ilvl w:val="0"/>
          <w:numId w:val="4"/>
        </w:numPr>
        <w:overflowPunct w:val="0"/>
        <w:autoSpaceDE w:val="0"/>
        <w:autoSpaceDN w:val="0"/>
        <w:adjustRightInd w:val="0"/>
        <w:spacing w:after="0" w:line="360" w:lineRule="auto"/>
        <w:ind w:left="547" w:hanging="547"/>
        <w:jc w:val="both"/>
        <w:textAlignment w:val="baseline"/>
        <w:rPr>
          <w:rFonts w:ascii="Arial" w:eastAsia="Times New Roman" w:hAnsi="Arial" w:cs="Arial"/>
          <w:sz w:val="24"/>
          <w:szCs w:val="24"/>
          <w:u w:val="single"/>
        </w:rPr>
      </w:pPr>
      <w:r w:rsidRPr="00A517F5">
        <w:rPr>
          <w:rFonts w:ascii="Arial" w:eastAsia="Times New Roman" w:hAnsi="Arial" w:cs="Arial"/>
          <w:sz w:val="24"/>
          <w:szCs w:val="24"/>
          <w:u w:val="single"/>
        </w:rPr>
        <w:t>Post Authorization Notification Review</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u w:val="single"/>
        </w:rPr>
      </w:pPr>
    </w:p>
    <w:p w:rsidR="006D796C" w:rsidRPr="00A517F5" w:rsidRDefault="006D796C" w:rsidP="006D796C">
      <w:pPr>
        <w:overflowPunct w:val="0"/>
        <w:autoSpaceDE w:val="0"/>
        <w:autoSpaceDN w:val="0"/>
        <w:adjustRightInd w:val="0"/>
        <w:spacing w:line="360" w:lineRule="auto"/>
        <w:ind w:left="547"/>
        <w:contextualSpacing/>
        <w:jc w:val="both"/>
        <w:textAlignment w:val="baseline"/>
        <w:rPr>
          <w:rFonts w:ascii="Arial" w:hAnsi="Arial" w:cs="Arial"/>
        </w:rPr>
      </w:pPr>
      <w:r w:rsidRPr="00A517F5">
        <w:rPr>
          <w:rFonts w:ascii="Arial" w:hAnsi="Arial" w:cs="Arial"/>
        </w:rPr>
        <w:t>The PAN for five transactions were not read by at least one of the mandatory reviewers for the FAU within 5 days.  Timely PAN reviews help to ensure that transactions are appropriate and properly recorded.</w:t>
      </w:r>
    </w:p>
    <w:p w:rsidR="006D796C" w:rsidRPr="00A517F5" w:rsidRDefault="006D796C" w:rsidP="006D796C">
      <w:pPr>
        <w:overflowPunct w:val="0"/>
        <w:autoSpaceDE w:val="0"/>
        <w:autoSpaceDN w:val="0"/>
        <w:adjustRightInd w:val="0"/>
        <w:spacing w:line="360" w:lineRule="auto"/>
        <w:ind w:left="547"/>
        <w:contextualSpacing/>
        <w:jc w:val="both"/>
        <w:textAlignment w:val="baseline"/>
        <w:rPr>
          <w:rFonts w:ascii="Arial" w:hAnsi="Arial" w:cs="Arial"/>
        </w:rPr>
      </w:pPr>
    </w:p>
    <w:p w:rsidR="006D796C" w:rsidRDefault="006D796C" w:rsidP="006D796C">
      <w:pPr>
        <w:overflowPunct w:val="0"/>
        <w:autoSpaceDE w:val="0"/>
        <w:autoSpaceDN w:val="0"/>
        <w:adjustRightInd w:val="0"/>
        <w:spacing w:line="360" w:lineRule="auto"/>
        <w:ind w:left="547"/>
        <w:contextualSpacing/>
        <w:jc w:val="both"/>
        <w:textAlignment w:val="baseline"/>
        <w:rPr>
          <w:rFonts w:ascii="Arial" w:hAnsi="Arial" w:cs="Arial"/>
        </w:rPr>
      </w:pPr>
      <w:r w:rsidRPr="00A517F5">
        <w:rPr>
          <w:rFonts w:ascii="Arial" w:hAnsi="Arial" w:cs="Arial"/>
          <w:u w:val="single"/>
        </w:rPr>
        <w:t>Recommendation</w:t>
      </w:r>
      <w:r w:rsidRPr="00A517F5">
        <w:rPr>
          <w:rFonts w:ascii="Arial" w:hAnsi="Arial" w:cs="Arial"/>
        </w:rPr>
        <w:t>:  Management should re-emphasize with all mandatory reviewers the need for the timely review of PANs.</w:t>
      </w:r>
    </w:p>
    <w:p w:rsidR="006D796C" w:rsidRDefault="006D796C" w:rsidP="006D796C">
      <w:pPr>
        <w:overflowPunct w:val="0"/>
        <w:autoSpaceDE w:val="0"/>
        <w:autoSpaceDN w:val="0"/>
        <w:adjustRightInd w:val="0"/>
        <w:spacing w:line="360" w:lineRule="auto"/>
        <w:ind w:left="547"/>
        <w:contextualSpacing/>
        <w:jc w:val="both"/>
        <w:textAlignment w:val="baseline"/>
        <w:rPr>
          <w:rFonts w:ascii="Arial" w:hAnsi="Arial" w:cs="Arial"/>
        </w:rPr>
      </w:pPr>
    </w:p>
    <w:p w:rsidR="006D796C" w:rsidRDefault="006D796C" w:rsidP="006D796C">
      <w:pPr>
        <w:overflowPunct w:val="0"/>
        <w:autoSpaceDE w:val="0"/>
        <w:autoSpaceDN w:val="0"/>
        <w:adjustRightInd w:val="0"/>
        <w:spacing w:line="360" w:lineRule="auto"/>
        <w:ind w:left="547"/>
        <w:contextualSpacing/>
        <w:jc w:val="both"/>
        <w:textAlignment w:val="baseline"/>
        <w:rPr>
          <w:rFonts w:ascii="Arial" w:hAnsi="Arial" w:cs="Arial"/>
        </w:rPr>
      </w:pPr>
      <w:r w:rsidRPr="008343FD">
        <w:rPr>
          <w:rFonts w:ascii="Arial" w:hAnsi="Arial" w:cs="Arial"/>
          <w:u w:val="single"/>
        </w:rPr>
        <w:t>Response</w:t>
      </w:r>
      <w:r>
        <w:rPr>
          <w:rFonts w:ascii="Arial" w:hAnsi="Arial" w:cs="Arial"/>
        </w:rPr>
        <w:t xml:space="preserve">:  </w:t>
      </w:r>
      <w:r w:rsidR="00F2373A" w:rsidRPr="00F2373A">
        <w:rPr>
          <w:rFonts w:ascii="Arial" w:hAnsi="Arial" w:cs="Arial"/>
        </w:rPr>
        <w:t>Effective immediately, the Housing Business Office, and the Financial Management Services department will continue to conduct periodic reviews of PAN reviewers in Dining Services, and will follow-up with them as necessary.  The Dining Business Manager will be kept apprised of these reviews, and will follow-up with PAN reviewers as necessary.</w:t>
      </w:r>
    </w:p>
    <w:p w:rsidR="006D796C" w:rsidRPr="00A517F5" w:rsidRDefault="006D796C" w:rsidP="006D796C">
      <w:pPr>
        <w:overflowPunct w:val="0"/>
        <w:autoSpaceDE w:val="0"/>
        <w:autoSpaceDN w:val="0"/>
        <w:adjustRightInd w:val="0"/>
        <w:spacing w:line="360" w:lineRule="auto"/>
        <w:ind w:left="547"/>
        <w:contextualSpacing/>
        <w:jc w:val="both"/>
        <w:textAlignment w:val="baseline"/>
        <w:rPr>
          <w:rFonts w:ascii="Arial" w:hAnsi="Arial" w:cs="Arial"/>
        </w:rPr>
      </w:pPr>
    </w:p>
    <w:p w:rsidR="006D796C" w:rsidRPr="00A517F5" w:rsidRDefault="006D796C" w:rsidP="006D796C">
      <w:pPr>
        <w:pStyle w:val="ListParagraph"/>
        <w:numPr>
          <w:ilvl w:val="0"/>
          <w:numId w:val="4"/>
        </w:numPr>
        <w:overflowPunct w:val="0"/>
        <w:autoSpaceDE w:val="0"/>
        <w:autoSpaceDN w:val="0"/>
        <w:adjustRightInd w:val="0"/>
        <w:spacing w:after="0" w:line="360" w:lineRule="auto"/>
        <w:ind w:left="547" w:hanging="547"/>
        <w:jc w:val="both"/>
        <w:textAlignment w:val="baseline"/>
        <w:rPr>
          <w:rFonts w:ascii="Arial" w:eastAsia="Times New Roman" w:hAnsi="Arial" w:cs="Arial"/>
          <w:sz w:val="24"/>
          <w:szCs w:val="24"/>
          <w:u w:val="single"/>
        </w:rPr>
      </w:pPr>
      <w:r w:rsidRPr="00A517F5">
        <w:rPr>
          <w:rFonts w:ascii="Arial" w:eastAsia="Times New Roman" w:hAnsi="Arial" w:cs="Arial"/>
          <w:sz w:val="24"/>
          <w:szCs w:val="24"/>
          <w:u w:val="single"/>
        </w:rPr>
        <w:t>Unrecorded Liabilities</w:t>
      </w:r>
    </w:p>
    <w:p w:rsidR="006D796C" w:rsidRPr="00A517F5" w:rsidRDefault="006D796C" w:rsidP="006D796C">
      <w:pPr>
        <w:overflowPunct w:val="0"/>
        <w:autoSpaceDE w:val="0"/>
        <w:autoSpaceDN w:val="0"/>
        <w:adjustRightInd w:val="0"/>
        <w:spacing w:line="360" w:lineRule="auto"/>
        <w:ind w:left="547"/>
        <w:contextualSpacing/>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ind w:left="547"/>
        <w:contextualSpacing/>
        <w:jc w:val="both"/>
        <w:textAlignment w:val="baseline"/>
        <w:rPr>
          <w:rFonts w:ascii="Arial" w:hAnsi="Arial" w:cs="Arial"/>
        </w:rPr>
      </w:pPr>
      <w:r w:rsidRPr="00A517F5">
        <w:rPr>
          <w:rFonts w:ascii="Arial" w:hAnsi="Arial" w:cs="Arial"/>
        </w:rPr>
        <w:t xml:space="preserve">A&amp;AS met with the Business Office Manager to understand the business practices Dining Services has implemented to ensure that accrued liabilities for non-food purchases are properly recorded at year-end.  Dining Services reports its year-end accruals in a standardized form to Financial Services Management.  In order to help identify unrecorded liabilities related to expenses that may have been incurred but not paid for as of June 30, 2015, A&amp;AS ran the detail general ledger in Campus Data Warehouse (CDW) for all non-food accounts for the month of July 2015.  The detail general ledgers were filtered by expenditures and “Transaction Document Date” before July 1, 2015.  The analysis showed that there were 80 transactions with an invoice date (i.e., “Transaction Document Date”) from the prior fiscal year.  A judgmental sample of eight of these transactions was selected to trace to the fiscal year 2014-15 Accrued Expense form to verify that these purchases were properly reported to General Accounting.  </w:t>
      </w:r>
    </w:p>
    <w:p w:rsidR="006D796C" w:rsidRPr="00A517F5" w:rsidRDefault="006D796C" w:rsidP="006D796C">
      <w:pPr>
        <w:overflowPunct w:val="0"/>
        <w:autoSpaceDE w:val="0"/>
        <w:autoSpaceDN w:val="0"/>
        <w:adjustRightInd w:val="0"/>
        <w:spacing w:line="360" w:lineRule="auto"/>
        <w:ind w:left="547"/>
        <w:contextualSpacing/>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ind w:left="547"/>
        <w:contextualSpacing/>
        <w:jc w:val="both"/>
        <w:textAlignment w:val="baseline"/>
        <w:rPr>
          <w:rFonts w:ascii="Arial" w:hAnsi="Arial" w:cs="Arial"/>
        </w:rPr>
      </w:pPr>
      <w:r w:rsidRPr="00A517F5">
        <w:rPr>
          <w:rFonts w:ascii="Arial" w:hAnsi="Arial" w:cs="Arial"/>
        </w:rPr>
        <w:t>A&amp;AS identified two out of the eight selected expenses from July 2015 with invoice dates from fiscal year 2014-15 that were not reported in the Accrued Expense form for fiscal year 2014-15.</w:t>
      </w:r>
    </w:p>
    <w:p w:rsidR="006D796C" w:rsidRPr="00A517F5" w:rsidRDefault="006D796C" w:rsidP="006D796C">
      <w:pPr>
        <w:overflowPunct w:val="0"/>
        <w:autoSpaceDE w:val="0"/>
        <w:autoSpaceDN w:val="0"/>
        <w:adjustRightInd w:val="0"/>
        <w:spacing w:line="360" w:lineRule="auto"/>
        <w:ind w:left="547"/>
        <w:contextualSpacing/>
        <w:jc w:val="both"/>
        <w:textAlignment w:val="baseline"/>
        <w:rPr>
          <w:rFonts w:ascii="Arial" w:hAnsi="Arial" w:cs="Arial"/>
        </w:rPr>
      </w:pPr>
    </w:p>
    <w:p w:rsidR="006D796C" w:rsidRDefault="006D796C" w:rsidP="006D796C">
      <w:pPr>
        <w:overflowPunct w:val="0"/>
        <w:autoSpaceDE w:val="0"/>
        <w:autoSpaceDN w:val="0"/>
        <w:adjustRightInd w:val="0"/>
        <w:spacing w:line="360" w:lineRule="auto"/>
        <w:ind w:left="547"/>
        <w:jc w:val="both"/>
        <w:textAlignment w:val="baseline"/>
        <w:rPr>
          <w:rFonts w:ascii="Arial" w:hAnsi="Arial" w:cs="Arial"/>
        </w:rPr>
      </w:pPr>
      <w:r w:rsidRPr="00A517F5">
        <w:rPr>
          <w:rFonts w:ascii="Arial" w:hAnsi="Arial" w:cs="Arial"/>
          <w:u w:val="single"/>
        </w:rPr>
        <w:t>Recommendation</w:t>
      </w:r>
      <w:r w:rsidRPr="00A517F5">
        <w:rPr>
          <w:rFonts w:ascii="Arial" w:hAnsi="Arial" w:cs="Arial"/>
        </w:rPr>
        <w:t>:  Dining Services management should ensure that all unrecorded liabilities related to expenses that have been incurred but not paid for as of June 30th are properly reported.</w:t>
      </w:r>
    </w:p>
    <w:p w:rsidR="006D796C" w:rsidRDefault="006D796C" w:rsidP="006D796C">
      <w:pPr>
        <w:overflowPunct w:val="0"/>
        <w:autoSpaceDE w:val="0"/>
        <w:autoSpaceDN w:val="0"/>
        <w:adjustRightInd w:val="0"/>
        <w:spacing w:line="360" w:lineRule="auto"/>
        <w:ind w:left="547"/>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ind w:left="547"/>
        <w:jc w:val="both"/>
        <w:textAlignment w:val="baseline"/>
        <w:rPr>
          <w:rFonts w:ascii="Arial" w:hAnsi="Arial" w:cs="Arial"/>
        </w:rPr>
      </w:pPr>
      <w:r w:rsidRPr="008343FD">
        <w:rPr>
          <w:rFonts w:ascii="Arial" w:hAnsi="Arial" w:cs="Arial"/>
          <w:u w:val="single"/>
        </w:rPr>
        <w:t>Response</w:t>
      </w:r>
      <w:r>
        <w:rPr>
          <w:rFonts w:ascii="Arial" w:hAnsi="Arial" w:cs="Arial"/>
        </w:rPr>
        <w:t xml:space="preserve">:  </w:t>
      </w:r>
      <w:r w:rsidR="00F43E07" w:rsidRPr="00F43E07">
        <w:rPr>
          <w:rFonts w:ascii="Arial" w:hAnsi="Arial" w:cs="Arial"/>
        </w:rPr>
        <w:t xml:space="preserve">Effective immediately, the Dining Services Business Manager will continue with the current practice of reminding restaurant managers to submit all invoices for timely processing during fiscal year-end.  Dining Services accounting staff will also continue the current practice of reconciling vendor statements on a monthly basis to ensure that invoices are processed in a timely manner.    </w:t>
      </w:r>
    </w:p>
    <w:p w:rsidR="006D796C" w:rsidRPr="00A517F5" w:rsidRDefault="006D796C" w:rsidP="006D796C">
      <w:pPr>
        <w:overflowPunct w:val="0"/>
        <w:autoSpaceDE w:val="0"/>
        <w:autoSpaceDN w:val="0"/>
        <w:adjustRightInd w:val="0"/>
        <w:spacing w:line="360" w:lineRule="auto"/>
        <w:ind w:left="547"/>
        <w:jc w:val="both"/>
        <w:textAlignment w:val="baseline"/>
        <w:rPr>
          <w:rFonts w:ascii="Arial" w:hAnsi="Arial" w:cs="Arial"/>
        </w:rPr>
      </w:pPr>
    </w:p>
    <w:p w:rsidR="006D796C" w:rsidRPr="00A517F5" w:rsidRDefault="006D796C" w:rsidP="006D796C">
      <w:pPr>
        <w:overflowPunct w:val="0"/>
        <w:autoSpaceDE w:val="0"/>
        <w:autoSpaceDN w:val="0"/>
        <w:adjustRightInd w:val="0"/>
        <w:spacing w:line="360" w:lineRule="auto"/>
        <w:jc w:val="center"/>
        <w:textAlignment w:val="baseline"/>
        <w:rPr>
          <w:rFonts w:ascii="Arial" w:hAnsi="Arial" w:cs="Arial"/>
          <w:u w:val="single"/>
        </w:rPr>
      </w:pPr>
      <w:r w:rsidRPr="00A517F5">
        <w:rPr>
          <w:rFonts w:ascii="Arial" w:hAnsi="Arial" w:cs="Arial"/>
          <w:u w:val="single"/>
        </w:rPr>
        <w:t>Reconciliations and Monitoring</w:t>
      </w:r>
    </w:p>
    <w:p w:rsidR="006D796C" w:rsidRPr="00A517F5" w:rsidRDefault="006D796C" w:rsidP="006D796C">
      <w:pPr>
        <w:overflowPunct w:val="0"/>
        <w:autoSpaceDE w:val="0"/>
        <w:autoSpaceDN w:val="0"/>
        <w:adjustRightInd w:val="0"/>
        <w:spacing w:line="360" w:lineRule="auto"/>
        <w:jc w:val="both"/>
        <w:textAlignment w:val="baseline"/>
        <w:rPr>
          <w:rFonts w:ascii="Arial" w:hAnsi="Arial" w:cs="Arial"/>
        </w:rPr>
      </w:pPr>
    </w:p>
    <w:p w:rsidR="006D796C" w:rsidRPr="00A517F5" w:rsidRDefault="006D796C" w:rsidP="006D796C">
      <w:pPr>
        <w:spacing w:line="360" w:lineRule="auto"/>
        <w:jc w:val="both"/>
        <w:rPr>
          <w:rFonts w:ascii="Arial" w:hAnsi="Arial"/>
          <w:szCs w:val="20"/>
        </w:rPr>
      </w:pPr>
      <w:r w:rsidRPr="00A517F5">
        <w:rPr>
          <w:rFonts w:ascii="Arial" w:hAnsi="Arial"/>
          <w:szCs w:val="20"/>
        </w:rPr>
        <w:t>A&amp;AS conducted interviews to understand how Dining Services management performs the general ledger reconciliation and the monitoring mechanisms in place to ensure that controls over the purchasing process are adequate.  According to the Business Office Manager, the reconciliation process includes reviewing all PANs against supporting documentation (i.e., original invoices, packing slips, etc.) every week by the mandatory reviewers in the DSCO.  Mandatory reviewers check every invoice for general appropriateness of the purchase and the correct account/fund and sub-object code.  A&amp;AS also confirmed the PAN review process with all DSCO mandatory reviewers.  The PAN review process appears to be a strong control activity that accomplishes the overall purpose of the reconciliation.</w:t>
      </w:r>
    </w:p>
    <w:p w:rsidR="006D796C" w:rsidRPr="00A517F5" w:rsidRDefault="006D796C" w:rsidP="006D796C">
      <w:pPr>
        <w:spacing w:line="360" w:lineRule="auto"/>
        <w:jc w:val="both"/>
        <w:rPr>
          <w:rFonts w:ascii="Arial" w:hAnsi="Arial"/>
          <w:szCs w:val="20"/>
        </w:rPr>
      </w:pPr>
    </w:p>
    <w:p w:rsidR="006D796C" w:rsidRPr="00A517F5" w:rsidRDefault="006D796C" w:rsidP="006D796C">
      <w:pPr>
        <w:spacing w:line="360" w:lineRule="auto"/>
        <w:jc w:val="both"/>
        <w:rPr>
          <w:rFonts w:ascii="Arial" w:hAnsi="Arial"/>
          <w:szCs w:val="20"/>
        </w:rPr>
      </w:pPr>
      <w:r w:rsidRPr="00A517F5">
        <w:rPr>
          <w:rFonts w:ascii="Arial" w:hAnsi="Arial"/>
          <w:szCs w:val="20"/>
        </w:rPr>
        <w:t>There were no significant control weaknesses noted in this area.</w:t>
      </w:r>
    </w:p>
    <w:p w:rsidR="006D796C" w:rsidRPr="00A517F5" w:rsidRDefault="006D796C" w:rsidP="006D796C">
      <w:pPr>
        <w:overflowPunct w:val="0"/>
        <w:autoSpaceDE w:val="0"/>
        <w:autoSpaceDN w:val="0"/>
        <w:adjustRightInd w:val="0"/>
        <w:spacing w:line="360" w:lineRule="auto"/>
        <w:jc w:val="center"/>
        <w:textAlignment w:val="baseline"/>
        <w:rPr>
          <w:rFonts w:ascii="Arial" w:hAnsi="Arial" w:cs="Arial"/>
          <w:u w:val="single"/>
        </w:rPr>
      </w:pPr>
      <w:r w:rsidRPr="00A517F5">
        <w:rPr>
          <w:rFonts w:ascii="Arial" w:hAnsi="Arial" w:cs="Arial"/>
          <w:u w:val="single"/>
        </w:rPr>
        <w:t>Accountability Structure</w:t>
      </w:r>
    </w:p>
    <w:p w:rsidR="006D796C" w:rsidRPr="00A517F5" w:rsidRDefault="006D796C" w:rsidP="006D796C">
      <w:pPr>
        <w:spacing w:line="360" w:lineRule="auto"/>
        <w:jc w:val="both"/>
        <w:rPr>
          <w:rFonts w:ascii="Arial" w:hAnsi="Arial"/>
          <w:szCs w:val="20"/>
        </w:rPr>
      </w:pPr>
    </w:p>
    <w:p w:rsidR="006D796C" w:rsidRPr="00A517F5" w:rsidRDefault="006D796C" w:rsidP="006D796C">
      <w:pPr>
        <w:spacing w:line="360" w:lineRule="auto"/>
        <w:jc w:val="both"/>
        <w:rPr>
          <w:rFonts w:ascii="Arial" w:hAnsi="Arial" w:cs="Arial"/>
        </w:rPr>
      </w:pPr>
      <w:r w:rsidRPr="00A517F5">
        <w:rPr>
          <w:rFonts w:ascii="Arial" w:hAnsi="Arial" w:cs="Arial"/>
          <w:color w:val="000000"/>
        </w:rPr>
        <w:t xml:space="preserve">The Distributed Administrative Computing Security System (DACSS) </w:t>
      </w:r>
      <w:r w:rsidRPr="00A517F5">
        <w:rPr>
          <w:rFonts w:ascii="Arial" w:hAnsi="Arial" w:cs="Arial"/>
        </w:rPr>
        <w:t>for purchasing functions was evaluated for compliance with the UCLA Financial Policy as of May 2016.  Users with access to process purchase transactions for Dining Services’ administration and non-food FAUs were reviewed to verify that access is consistent with current responsibilities and the organizational structure.  Mandatory reviewers for the accounts were reviewed to verify that PANs for purchasing transactions were approved by individuals with the appropriate delegation of authority.  A&amp;AS also reviewed the Chief Administrative Officer (CAO) Certifications for department codes 3130 and 3170 that were submitted to Corporate Financial Services in June 2015.</w:t>
      </w: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r w:rsidRPr="00A517F5">
        <w:rPr>
          <w:rFonts w:ascii="Arial" w:hAnsi="Arial" w:cs="Arial"/>
        </w:rPr>
        <w:t>User access was not always consistent with current responsibilities and the organizational structure.  As of May 6, 2016, A&amp;AS identified one individual with AP730 access to the Dining Admin FAU (4-760427-70000) whose home department code was 3175 (University Apartments).  Although this person has global access, management should consider if it is appropriate for someone outside of the Housing Administration and On Campus Housing areas to process up to $900,000 in transactions for Dining Services.  The UCLA Financial Policy states that tasks shall only be delegated to people who are qualified to perform them.  A qualified person must, in part, be actively involved in the tasks being performed.</w:t>
      </w:r>
    </w:p>
    <w:p w:rsidR="006D796C" w:rsidRPr="00A517F5" w:rsidRDefault="006D796C" w:rsidP="006D796C">
      <w:pPr>
        <w:spacing w:line="360" w:lineRule="auto"/>
        <w:jc w:val="both"/>
        <w:rPr>
          <w:rFonts w:ascii="Arial" w:hAnsi="Arial" w:cs="Arial"/>
        </w:rPr>
      </w:pPr>
    </w:p>
    <w:p w:rsidR="006D796C" w:rsidRPr="00A517F5" w:rsidRDefault="006D796C" w:rsidP="006D796C">
      <w:pPr>
        <w:spacing w:line="360" w:lineRule="auto"/>
        <w:jc w:val="both"/>
        <w:rPr>
          <w:rFonts w:ascii="Arial" w:hAnsi="Arial" w:cs="Arial"/>
        </w:rPr>
      </w:pPr>
      <w:r w:rsidRPr="00A517F5">
        <w:rPr>
          <w:rFonts w:ascii="Arial" w:hAnsi="Arial" w:cs="Arial"/>
        </w:rPr>
        <w:t>In addition, the General Managers for DeNeve Dining, DeNeve Bakery, DeNeve Lunch on the Go, and Hedrick were not set up as mandatory reviewers for the respective restaurants’ Administration and Non-Food accounts.  Without the General Managers, these areas did not have anyone within the restaurant operation reviewing PANs, exposing the organization to the risk of unauthorized purchases and misuse of University funds.  Additionally, the Assistant Directors over DeNeve Lunch on the Go and Hedrick were not set up as mandatory reviewers for those respective FAUs.</w:t>
      </w:r>
    </w:p>
    <w:p w:rsidR="006D796C" w:rsidRPr="00A517F5" w:rsidRDefault="006D796C" w:rsidP="006D796C">
      <w:pPr>
        <w:spacing w:line="360" w:lineRule="auto"/>
        <w:jc w:val="both"/>
        <w:rPr>
          <w:rFonts w:ascii="Arial" w:hAnsi="Arial"/>
          <w:szCs w:val="20"/>
          <w:u w:val="single"/>
        </w:rPr>
      </w:pPr>
    </w:p>
    <w:p w:rsidR="006D796C" w:rsidRDefault="006D796C" w:rsidP="006D796C">
      <w:pPr>
        <w:spacing w:line="360" w:lineRule="auto"/>
        <w:jc w:val="both"/>
        <w:rPr>
          <w:rFonts w:ascii="Arial" w:hAnsi="Arial" w:cs="Arial"/>
        </w:rPr>
      </w:pPr>
      <w:r w:rsidRPr="00A517F5">
        <w:rPr>
          <w:rFonts w:ascii="Arial" w:hAnsi="Arial"/>
          <w:szCs w:val="20"/>
          <w:u w:val="single"/>
        </w:rPr>
        <w:t>Recommendation</w:t>
      </w:r>
      <w:r w:rsidRPr="00A517F5">
        <w:rPr>
          <w:rFonts w:ascii="Arial" w:hAnsi="Arial"/>
          <w:szCs w:val="20"/>
        </w:rPr>
        <w:t xml:space="preserve">:  Dining Services management should evaluate whether the access for the individuals noted above should be updated.  </w:t>
      </w:r>
      <w:r w:rsidRPr="00A517F5">
        <w:rPr>
          <w:rFonts w:ascii="Arial" w:hAnsi="Arial" w:cs="Arial"/>
        </w:rPr>
        <w:t>The department's accountability structure should be reviewed periodically to ensure that it is accurate, current, and in compliance with the UCLA Financial Policy.</w:t>
      </w:r>
    </w:p>
    <w:p w:rsidR="006D796C" w:rsidRDefault="006D796C" w:rsidP="006D796C">
      <w:pPr>
        <w:spacing w:line="360" w:lineRule="auto"/>
        <w:jc w:val="both"/>
        <w:rPr>
          <w:rFonts w:ascii="Arial" w:hAnsi="Arial" w:cs="Arial"/>
        </w:rPr>
      </w:pPr>
    </w:p>
    <w:p w:rsidR="00F7436C" w:rsidRPr="00F7436C" w:rsidRDefault="006D796C" w:rsidP="00F7436C">
      <w:pPr>
        <w:spacing w:line="360" w:lineRule="auto"/>
        <w:jc w:val="both"/>
        <w:rPr>
          <w:rFonts w:ascii="Arial" w:hAnsi="Arial" w:cs="Arial"/>
        </w:rPr>
      </w:pPr>
      <w:r w:rsidRPr="008343FD">
        <w:rPr>
          <w:rFonts w:ascii="Arial" w:hAnsi="Arial" w:cs="Arial"/>
          <w:u w:val="single"/>
        </w:rPr>
        <w:t>Response</w:t>
      </w:r>
      <w:r>
        <w:rPr>
          <w:rFonts w:ascii="Arial" w:hAnsi="Arial" w:cs="Arial"/>
        </w:rPr>
        <w:t xml:space="preserve">:  </w:t>
      </w:r>
      <w:r w:rsidR="00F7436C" w:rsidRPr="00F7436C">
        <w:rPr>
          <w:rFonts w:ascii="Arial" w:hAnsi="Arial" w:cs="Arial"/>
        </w:rPr>
        <w:t>Effective immediately, the Dining Services Business Manager will work with the Housing Business Office to determine the appropriateness of preparer access, as the employee noted above is not a Dining Services employee.</w:t>
      </w:r>
    </w:p>
    <w:p w:rsidR="00F7436C" w:rsidRPr="00F7436C" w:rsidRDefault="00F7436C" w:rsidP="00F7436C">
      <w:pPr>
        <w:spacing w:line="360" w:lineRule="auto"/>
        <w:jc w:val="both"/>
        <w:rPr>
          <w:rFonts w:ascii="Arial" w:hAnsi="Arial" w:cs="Arial"/>
        </w:rPr>
      </w:pPr>
    </w:p>
    <w:p w:rsidR="006D796C" w:rsidRPr="00A517F5" w:rsidRDefault="00F7436C" w:rsidP="00F7436C">
      <w:pPr>
        <w:spacing w:line="360" w:lineRule="auto"/>
        <w:jc w:val="both"/>
        <w:rPr>
          <w:rFonts w:ascii="Arial" w:hAnsi="Arial"/>
          <w:szCs w:val="20"/>
        </w:rPr>
      </w:pPr>
      <w:r>
        <w:rPr>
          <w:rFonts w:ascii="Arial" w:hAnsi="Arial" w:cs="Arial"/>
        </w:rPr>
        <w:t>As of July 26</w:t>
      </w:r>
      <w:r w:rsidR="00FB5AA8">
        <w:rPr>
          <w:rFonts w:ascii="Arial" w:hAnsi="Arial" w:cs="Arial"/>
        </w:rPr>
        <w:t>,</w:t>
      </w:r>
      <w:r>
        <w:rPr>
          <w:rFonts w:ascii="Arial" w:hAnsi="Arial" w:cs="Arial"/>
        </w:rPr>
        <w:t xml:space="preserve"> 20</w:t>
      </w:r>
      <w:r w:rsidRPr="00F7436C">
        <w:rPr>
          <w:rFonts w:ascii="Arial" w:hAnsi="Arial" w:cs="Arial"/>
        </w:rPr>
        <w:t>16, the GM of DeNeve is a mandatory reviewer for DeNeve purchas</w:t>
      </w:r>
      <w:r w:rsidR="00FB5AA8">
        <w:rPr>
          <w:rFonts w:ascii="Arial" w:hAnsi="Arial" w:cs="Arial"/>
        </w:rPr>
        <w:t>ing transactions.  Also as of July 26, 201</w:t>
      </w:r>
      <w:r w:rsidRPr="00F7436C">
        <w:rPr>
          <w:rFonts w:ascii="Arial" w:hAnsi="Arial" w:cs="Arial"/>
        </w:rPr>
        <w:t xml:space="preserve">6, requests have been submitted to set-up the GM’s of the Bakery and Hedrick as mandatory reviewers for purchasing transactions.  DeNeve Lunch on the Go has been combined </w:t>
      </w:r>
      <w:r w:rsidR="00133626">
        <w:rPr>
          <w:rFonts w:ascii="Arial" w:hAnsi="Arial" w:cs="Arial"/>
        </w:rPr>
        <w:t>with the DeNeve location as of July 1, 20</w:t>
      </w:r>
      <w:r w:rsidRPr="00F7436C">
        <w:rPr>
          <w:rFonts w:ascii="Arial" w:hAnsi="Arial" w:cs="Arial"/>
        </w:rPr>
        <w:t xml:space="preserve">16, therefore the GM of DeNeve is a mandatory reviewer for DeNeve Lunch on the Go purchasing transactions.    </w:t>
      </w:r>
    </w:p>
    <w:p w:rsidR="006D796C" w:rsidRPr="00A517F5" w:rsidRDefault="006D796C" w:rsidP="006D796C">
      <w:pPr>
        <w:spacing w:line="360" w:lineRule="auto"/>
        <w:jc w:val="both"/>
        <w:rPr>
          <w:rFonts w:ascii="Arial" w:hAnsi="Arial"/>
          <w:szCs w:val="20"/>
        </w:rPr>
      </w:pPr>
    </w:p>
    <w:p w:rsidR="006D796C" w:rsidRPr="00A517F5" w:rsidRDefault="006D796C" w:rsidP="006D796C">
      <w:pPr>
        <w:overflowPunct w:val="0"/>
        <w:autoSpaceDE w:val="0"/>
        <w:autoSpaceDN w:val="0"/>
        <w:adjustRightInd w:val="0"/>
        <w:spacing w:line="360" w:lineRule="auto"/>
        <w:jc w:val="center"/>
        <w:textAlignment w:val="baseline"/>
        <w:rPr>
          <w:rFonts w:ascii="Arial" w:hAnsi="Arial" w:cs="Arial"/>
          <w:u w:val="single"/>
        </w:rPr>
      </w:pPr>
      <w:r w:rsidRPr="00A517F5">
        <w:rPr>
          <w:rFonts w:ascii="Arial" w:hAnsi="Arial" w:cs="Arial"/>
          <w:u w:val="single"/>
        </w:rPr>
        <w:t>Non-Inventorial Theft Sensitive Purchases</w:t>
      </w:r>
    </w:p>
    <w:p w:rsidR="006D796C" w:rsidRPr="00A517F5" w:rsidRDefault="006D796C" w:rsidP="006D796C">
      <w:pPr>
        <w:spacing w:line="360" w:lineRule="auto"/>
        <w:jc w:val="both"/>
        <w:rPr>
          <w:rFonts w:ascii="Arial" w:hAnsi="Arial"/>
          <w:szCs w:val="20"/>
        </w:rPr>
      </w:pPr>
    </w:p>
    <w:p w:rsidR="006D796C" w:rsidRPr="00A517F5" w:rsidRDefault="006D796C" w:rsidP="006D796C">
      <w:pPr>
        <w:spacing w:line="360" w:lineRule="auto"/>
        <w:jc w:val="both"/>
        <w:rPr>
          <w:rFonts w:ascii="Arial" w:hAnsi="Arial"/>
          <w:szCs w:val="20"/>
        </w:rPr>
      </w:pPr>
      <w:r w:rsidRPr="00A517F5">
        <w:rPr>
          <w:rFonts w:ascii="Arial" w:hAnsi="Arial"/>
          <w:szCs w:val="20"/>
        </w:rPr>
        <w:t>A&amp;AS conducted interviews with Dining Services assistant directors to identify what management considers to be non-inventorial theft sensitive items and to understand the controls over these items to minimize shrinkage.  Management considers items like china, flatware, and server ware to be non-inventorial and theft sensitive.  These items are counted regularly by staff for operations purposes, but due to constant use, are not issued and monitored in a formal manner.  The count record provided by one of the assistant directors as of June 2016 and the related count instructions appeared reasonable.</w:t>
      </w:r>
    </w:p>
    <w:p w:rsidR="006D796C" w:rsidRPr="00A517F5" w:rsidRDefault="006D796C" w:rsidP="006D796C">
      <w:pPr>
        <w:spacing w:line="360" w:lineRule="auto"/>
        <w:jc w:val="both"/>
        <w:rPr>
          <w:rFonts w:ascii="Arial" w:hAnsi="Arial"/>
          <w:szCs w:val="20"/>
        </w:rPr>
      </w:pPr>
    </w:p>
    <w:p w:rsidR="006D796C" w:rsidRDefault="006D796C" w:rsidP="006D796C">
      <w:pPr>
        <w:spacing w:line="360" w:lineRule="auto"/>
        <w:jc w:val="both"/>
        <w:rPr>
          <w:rFonts w:ascii="Arial" w:hAnsi="Arial"/>
          <w:szCs w:val="20"/>
        </w:rPr>
      </w:pPr>
      <w:r w:rsidRPr="00A517F5">
        <w:rPr>
          <w:rFonts w:ascii="Arial" w:hAnsi="Arial"/>
          <w:szCs w:val="20"/>
        </w:rPr>
        <w:t>There were no significant control weaknesses noted in this area.</w:t>
      </w:r>
    </w:p>
    <w:p w:rsidR="006D796C" w:rsidRDefault="006D796C" w:rsidP="006D796C">
      <w:pPr>
        <w:spacing w:line="360" w:lineRule="auto"/>
        <w:jc w:val="both"/>
        <w:rPr>
          <w:rFonts w:ascii="Arial" w:hAnsi="Arial"/>
          <w:szCs w:val="20"/>
        </w:rPr>
      </w:pPr>
    </w:p>
    <w:p w:rsidR="006D796C" w:rsidRDefault="006D796C" w:rsidP="006D796C">
      <w:pPr>
        <w:spacing w:line="360" w:lineRule="auto"/>
        <w:jc w:val="both"/>
        <w:rPr>
          <w:rFonts w:ascii="Arial" w:hAnsi="Arial"/>
          <w:szCs w:val="20"/>
        </w:rPr>
      </w:pPr>
    </w:p>
    <w:p w:rsidR="006D796C" w:rsidRPr="007410E6" w:rsidRDefault="00066ED7" w:rsidP="006D796C">
      <w:pPr>
        <w:jc w:val="both"/>
        <w:rPr>
          <w:rFonts w:ascii="Arial" w:hAnsi="Arial"/>
          <w:sz w:val="16"/>
          <w:szCs w:val="16"/>
        </w:rPr>
      </w:pPr>
      <w:r>
        <w:rPr>
          <w:rFonts w:ascii="Arial" w:hAnsi="Arial"/>
          <w:sz w:val="16"/>
          <w:szCs w:val="16"/>
        </w:rPr>
        <w:t>160628-3</w:t>
      </w:r>
      <w:r w:rsidR="006D796C" w:rsidRPr="007410E6">
        <w:rPr>
          <w:rFonts w:ascii="Arial" w:hAnsi="Arial"/>
          <w:sz w:val="16"/>
          <w:szCs w:val="16"/>
        </w:rPr>
        <w:br/>
        <w:t>REP</w:t>
      </w:r>
    </w:p>
    <w:p w:rsidR="008A596D" w:rsidRDefault="008A596D"/>
    <w:sectPr w:rsidR="008A596D" w:rsidSect="00066ED7">
      <w:headerReference w:type="default" r:id="rId10"/>
      <w:footerReference w:type="default" r:id="rId11"/>
      <w:footerReference w:type="first" r:id="rId12"/>
      <w:pgSz w:w="12240" w:h="15840"/>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ED7" w:rsidRDefault="00066ED7">
      <w:r>
        <w:separator/>
      </w:r>
    </w:p>
  </w:endnote>
  <w:endnote w:type="continuationSeparator" w:id="0">
    <w:p w:rsidR="00066ED7" w:rsidRDefault="0006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D7" w:rsidRDefault="00066ED7" w:rsidP="00066E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6ED7" w:rsidRDefault="00066E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D7" w:rsidRPr="0000398B" w:rsidRDefault="00066ED7" w:rsidP="00066ED7">
    <w:pPr>
      <w:pStyle w:val="Footer"/>
      <w:framePr w:wrap="around" w:vAnchor="text" w:hAnchor="margin" w:xAlign="center" w:y="1"/>
      <w:rPr>
        <w:rStyle w:val="PageNumber"/>
        <w:rFonts w:ascii="Arial" w:hAnsi="Arial" w:cs="Arial"/>
        <w:sz w:val="24"/>
        <w:szCs w:val="24"/>
      </w:rPr>
    </w:pPr>
    <w:r w:rsidRPr="0000398B">
      <w:rPr>
        <w:rStyle w:val="PageNumber"/>
        <w:rFonts w:ascii="Arial" w:hAnsi="Arial" w:cs="Arial"/>
        <w:sz w:val="24"/>
        <w:szCs w:val="24"/>
      </w:rPr>
      <w:fldChar w:fldCharType="begin"/>
    </w:r>
    <w:r w:rsidRPr="0000398B">
      <w:rPr>
        <w:rStyle w:val="PageNumber"/>
        <w:rFonts w:ascii="Arial" w:hAnsi="Arial" w:cs="Arial"/>
        <w:sz w:val="24"/>
        <w:szCs w:val="24"/>
      </w:rPr>
      <w:instrText xml:space="preserve">PAGE  </w:instrText>
    </w:r>
    <w:r w:rsidRPr="0000398B">
      <w:rPr>
        <w:rStyle w:val="PageNumber"/>
        <w:rFonts w:ascii="Arial" w:hAnsi="Arial" w:cs="Arial"/>
        <w:sz w:val="24"/>
        <w:szCs w:val="24"/>
      </w:rPr>
      <w:fldChar w:fldCharType="separate"/>
    </w:r>
    <w:r w:rsidR="00B615E6">
      <w:rPr>
        <w:rStyle w:val="PageNumber"/>
        <w:rFonts w:ascii="Arial" w:hAnsi="Arial" w:cs="Arial"/>
        <w:noProof/>
        <w:sz w:val="24"/>
        <w:szCs w:val="24"/>
      </w:rPr>
      <w:t>2</w:t>
    </w:r>
    <w:r w:rsidRPr="0000398B">
      <w:rPr>
        <w:rStyle w:val="PageNumber"/>
        <w:rFonts w:ascii="Arial" w:hAnsi="Arial" w:cs="Arial"/>
        <w:sz w:val="24"/>
        <w:szCs w:val="24"/>
      </w:rPr>
      <w:fldChar w:fldCharType="end"/>
    </w:r>
  </w:p>
  <w:p w:rsidR="00066ED7" w:rsidRPr="0000398B" w:rsidRDefault="00066ED7" w:rsidP="00066ED7">
    <w:pPr>
      <w:pStyle w:val="Footer"/>
      <w:jc w:val="center"/>
      <w:rPr>
        <w:rFonts w:ascii="Arial" w:hAnsi="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D7" w:rsidRDefault="00066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ED7" w:rsidRDefault="00066ED7">
      <w:r>
        <w:separator/>
      </w:r>
    </w:p>
  </w:footnote>
  <w:footnote w:type="continuationSeparator" w:id="0">
    <w:p w:rsidR="00066ED7" w:rsidRDefault="00066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D7" w:rsidRPr="00F638EB" w:rsidRDefault="00066ED7" w:rsidP="00066ED7">
    <w:pPr>
      <w:pStyle w:val="Header"/>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705B"/>
    <w:multiLevelType w:val="hybridMultilevel"/>
    <w:tmpl w:val="5F8004F0"/>
    <w:lvl w:ilvl="0" w:tplc="3572B820">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762F54"/>
    <w:multiLevelType w:val="hybridMultilevel"/>
    <w:tmpl w:val="17D2265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2B56B6"/>
    <w:multiLevelType w:val="hybridMultilevel"/>
    <w:tmpl w:val="BDA4F084"/>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nsid w:val="500C2FCE"/>
    <w:multiLevelType w:val="hybridMultilevel"/>
    <w:tmpl w:val="ED9877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A0D7D92"/>
    <w:multiLevelType w:val="hybridMultilevel"/>
    <w:tmpl w:val="D92E7534"/>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96D"/>
    <w:rsid w:val="00066ED7"/>
    <w:rsid w:val="00133626"/>
    <w:rsid w:val="002419AB"/>
    <w:rsid w:val="002C6E18"/>
    <w:rsid w:val="006D796C"/>
    <w:rsid w:val="008A596D"/>
    <w:rsid w:val="00AF0C4D"/>
    <w:rsid w:val="00B615E6"/>
    <w:rsid w:val="00BE2558"/>
    <w:rsid w:val="00C6621A"/>
    <w:rsid w:val="00D43B00"/>
    <w:rsid w:val="00F2373A"/>
    <w:rsid w:val="00F43E07"/>
    <w:rsid w:val="00F7436C"/>
    <w:rsid w:val="00FB5AA8"/>
    <w:rsid w:val="00FD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96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796C"/>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D796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D796C"/>
    <w:rPr>
      <w:rFonts w:asciiTheme="minorHAnsi" w:eastAsiaTheme="minorHAnsi" w:hAnsiTheme="minorHAnsi" w:cstheme="minorBidi"/>
      <w:sz w:val="22"/>
      <w:szCs w:val="22"/>
    </w:rPr>
  </w:style>
  <w:style w:type="character" w:styleId="PageNumber">
    <w:name w:val="page number"/>
    <w:rsid w:val="006D796C"/>
    <w:rPr>
      <w:rFonts w:cs="Times New Roman"/>
    </w:rPr>
  </w:style>
  <w:style w:type="table" w:styleId="TableGrid">
    <w:name w:val="Table Grid"/>
    <w:basedOn w:val="TableNormal"/>
    <w:rsid w:val="006D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96C"/>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2419AB"/>
    <w:rPr>
      <w:rFonts w:ascii="Tahoma" w:hAnsi="Tahoma" w:cs="Tahoma"/>
      <w:sz w:val="16"/>
      <w:szCs w:val="16"/>
    </w:rPr>
  </w:style>
  <w:style w:type="character" w:customStyle="1" w:styleId="BalloonTextChar">
    <w:name w:val="Balloon Text Char"/>
    <w:basedOn w:val="DefaultParagraphFont"/>
    <w:link w:val="BalloonText"/>
    <w:rsid w:val="002419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96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796C"/>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D796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D796C"/>
    <w:rPr>
      <w:rFonts w:asciiTheme="minorHAnsi" w:eastAsiaTheme="minorHAnsi" w:hAnsiTheme="minorHAnsi" w:cstheme="minorBidi"/>
      <w:sz w:val="22"/>
      <w:szCs w:val="22"/>
    </w:rPr>
  </w:style>
  <w:style w:type="character" w:styleId="PageNumber">
    <w:name w:val="page number"/>
    <w:rsid w:val="006D796C"/>
    <w:rPr>
      <w:rFonts w:cs="Times New Roman"/>
    </w:rPr>
  </w:style>
  <w:style w:type="table" w:styleId="TableGrid">
    <w:name w:val="Table Grid"/>
    <w:basedOn w:val="TableNormal"/>
    <w:rsid w:val="006D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96C"/>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2419AB"/>
    <w:rPr>
      <w:rFonts w:ascii="Tahoma" w:hAnsi="Tahoma" w:cs="Tahoma"/>
      <w:sz w:val="16"/>
      <w:szCs w:val="16"/>
    </w:rPr>
  </w:style>
  <w:style w:type="character" w:customStyle="1" w:styleId="BalloonTextChar">
    <w:name w:val="Balloon Text Char"/>
    <w:basedOn w:val="DefaultParagraphFont"/>
    <w:link w:val="BalloonText"/>
    <w:rsid w:val="00241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pham\AppData\Local\Microsoft\Windows\Temporary%20Internet%20Files\Content.Outlook\D2S7JVUA\Report%20Spread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200" b="1">
                <a:latin typeface="Arial" panose="020B0604020202020204" pitchFamily="34" charset="0"/>
                <a:cs typeface="Arial" panose="020B0604020202020204" pitchFamily="34" charset="0"/>
              </a:rPr>
              <a:t>FY</a:t>
            </a:r>
            <a:r>
              <a:rPr lang="en-US" sz="1200" b="1" baseline="0">
                <a:latin typeface="Arial" panose="020B0604020202020204" pitchFamily="34" charset="0"/>
                <a:cs typeface="Arial" panose="020B0604020202020204" pitchFamily="34" charset="0"/>
              </a:rPr>
              <a:t> 2014-15 Admin vs. Non-Food</a:t>
            </a:r>
          </a:p>
          <a:p>
            <a:pPr>
              <a:defRPr/>
            </a:pPr>
            <a:r>
              <a:rPr lang="en-US" sz="1200" b="1" baseline="0">
                <a:latin typeface="Arial" panose="020B0604020202020204" pitchFamily="34" charset="0"/>
                <a:cs typeface="Arial" panose="020B0604020202020204" pitchFamily="34" charset="0"/>
              </a:rPr>
              <a:t>Supplies &amp; Expense</a:t>
            </a:r>
            <a:endParaRPr lang="en-US" sz="1200" b="1">
              <a:latin typeface="Arial" panose="020B0604020202020204" pitchFamily="34" charset="0"/>
              <a:cs typeface="Arial" panose="020B0604020202020204" pitchFamily="34" charset="0"/>
            </a:endParaRPr>
          </a:p>
        </c:rich>
      </c:tx>
      <c:layout/>
      <c:overlay val="0"/>
    </c:title>
    <c:autoTitleDeleted val="0"/>
    <c:plotArea>
      <c:layout/>
      <c:barChart>
        <c:barDir val="col"/>
        <c:grouping val="clustered"/>
        <c:varyColors val="0"/>
        <c:ser>
          <c:idx val="0"/>
          <c:order val="0"/>
          <c:tx>
            <c:strRef>
              <c:f>'Sub Code Admin'!$B$1</c:f>
              <c:strCache>
                <c:ptCount val="1"/>
                <c:pt idx="0">
                  <c:v>Admin</c:v>
                </c:pt>
              </c:strCache>
            </c:strRef>
          </c:tx>
          <c:invertIfNegative val="0"/>
          <c:cat>
            <c:strRef>
              <c:f>'Sub Code Admin'!$A$2:$A$13</c:f>
              <c:strCache>
                <c:ptCount val="12"/>
                <c:pt idx="0">
                  <c:v>Bruin Café </c:v>
                </c:pt>
                <c:pt idx="1">
                  <c:v>Bruin Plate</c:v>
                </c:pt>
                <c:pt idx="2">
                  <c:v>Café 1919 </c:v>
                </c:pt>
                <c:pt idx="3">
                  <c:v>Covel </c:v>
                </c:pt>
                <c:pt idx="4">
                  <c:v>DeNeve Bakery</c:v>
                </c:pt>
                <c:pt idx="5">
                  <c:v>DeNeve Commissary</c:v>
                </c:pt>
                <c:pt idx="6">
                  <c:v>DeNeve Dining</c:v>
                </c:pt>
                <c:pt idx="7">
                  <c:v>DeNeve Lunch on the Go</c:v>
                </c:pt>
                <c:pt idx="8">
                  <c:v>Hedrick</c:v>
                </c:pt>
                <c:pt idx="9">
                  <c:v>Rendezvous</c:v>
                </c:pt>
                <c:pt idx="10">
                  <c:v>Rieber</c:v>
                </c:pt>
                <c:pt idx="11">
                  <c:v>Dining Administration</c:v>
                </c:pt>
              </c:strCache>
            </c:strRef>
          </c:cat>
          <c:val>
            <c:numRef>
              <c:f>'Sub Code Admin'!$B$2:$B$13</c:f>
              <c:numCache>
                <c:formatCode>_("$"* #,##0.00_);_("$"* \(#,##0.00\);_("$"* "-"??_);_(@_)</c:formatCode>
                <c:ptCount val="12"/>
                <c:pt idx="0">
                  <c:v>12349.93</c:v>
                </c:pt>
                <c:pt idx="1">
                  <c:v>12429.12</c:v>
                </c:pt>
                <c:pt idx="2">
                  <c:v>5720.86</c:v>
                </c:pt>
                <c:pt idx="3">
                  <c:v>17836.5</c:v>
                </c:pt>
                <c:pt idx="4">
                  <c:v>5112.7299999999996</c:v>
                </c:pt>
                <c:pt idx="5">
                  <c:v>31182.62</c:v>
                </c:pt>
                <c:pt idx="6">
                  <c:v>64005.85</c:v>
                </c:pt>
                <c:pt idx="7">
                  <c:v>985.66</c:v>
                </c:pt>
                <c:pt idx="8">
                  <c:v>4632.79</c:v>
                </c:pt>
                <c:pt idx="9">
                  <c:v>7530.95</c:v>
                </c:pt>
                <c:pt idx="10">
                  <c:v>9830.99</c:v>
                </c:pt>
                <c:pt idx="11">
                  <c:v>632311.07999999996</c:v>
                </c:pt>
              </c:numCache>
            </c:numRef>
          </c:val>
        </c:ser>
        <c:ser>
          <c:idx val="1"/>
          <c:order val="1"/>
          <c:tx>
            <c:strRef>
              <c:f>'Sub Code Admin'!$C$1</c:f>
              <c:strCache>
                <c:ptCount val="1"/>
                <c:pt idx="0">
                  <c:v>Non-Food</c:v>
                </c:pt>
              </c:strCache>
            </c:strRef>
          </c:tx>
          <c:invertIfNegative val="0"/>
          <c:cat>
            <c:strRef>
              <c:f>'Sub Code Admin'!$A$2:$A$13</c:f>
              <c:strCache>
                <c:ptCount val="12"/>
                <c:pt idx="0">
                  <c:v>Bruin Café </c:v>
                </c:pt>
                <c:pt idx="1">
                  <c:v>Bruin Plate</c:v>
                </c:pt>
                <c:pt idx="2">
                  <c:v>Café 1919 </c:v>
                </c:pt>
                <c:pt idx="3">
                  <c:v>Covel </c:v>
                </c:pt>
                <c:pt idx="4">
                  <c:v>DeNeve Bakery</c:v>
                </c:pt>
                <c:pt idx="5">
                  <c:v>DeNeve Commissary</c:v>
                </c:pt>
                <c:pt idx="6">
                  <c:v>DeNeve Dining</c:v>
                </c:pt>
                <c:pt idx="7">
                  <c:v>DeNeve Lunch on the Go</c:v>
                </c:pt>
                <c:pt idx="8">
                  <c:v>Hedrick</c:v>
                </c:pt>
                <c:pt idx="9">
                  <c:v>Rendezvous</c:v>
                </c:pt>
                <c:pt idx="10">
                  <c:v>Rieber</c:v>
                </c:pt>
                <c:pt idx="11">
                  <c:v>Dining Administration</c:v>
                </c:pt>
              </c:strCache>
            </c:strRef>
          </c:cat>
          <c:val>
            <c:numRef>
              <c:f>'Sub Code Admin'!$C$2:$C$13</c:f>
              <c:numCache>
                <c:formatCode>_("$"* #,##0.00_);_("$"* \(#,##0.00\);_("$"* "-"??_);_(@_)</c:formatCode>
                <c:ptCount val="12"/>
                <c:pt idx="0">
                  <c:v>550636.69999999995</c:v>
                </c:pt>
                <c:pt idx="1">
                  <c:v>635234.46</c:v>
                </c:pt>
                <c:pt idx="2">
                  <c:v>283420.45</c:v>
                </c:pt>
                <c:pt idx="3">
                  <c:v>529778.56999999995</c:v>
                </c:pt>
                <c:pt idx="4">
                  <c:v>85339.28</c:v>
                </c:pt>
                <c:pt idx="5">
                  <c:v>119531.86</c:v>
                </c:pt>
                <c:pt idx="6">
                  <c:v>852567.7</c:v>
                </c:pt>
                <c:pt idx="7">
                  <c:v>13415.51</c:v>
                </c:pt>
                <c:pt idx="8">
                  <c:v>56919.01</c:v>
                </c:pt>
                <c:pt idx="9">
                  <c:v>418014.09</c:v>
                </c:pt>
                <c:pt idx="10">
                  <c:v>369815.7</c:v>
                </c:pt>
                <c:pt idx="11">
                  <c:v>0</c:v>
                </c:pt>
              </c:numCache>
            </c:numRef>
          </c:val>
        </c:ser>
        <c:dLbls>
          <c:showLegendKey val="0"/>
          <c:showVal val="0"/>
          <c:showCatName val="0"/>
          <c:showSerName val="0"/>
          <c:showPercent val="0"/>
          <c:showBubbleSize val="0"/>
        </c:dLbls>
        <c:gapWidth val="150"/>
        <c:axId val="87143552"/>
        <c:axId val="87158784"/>
      </c:barChart>
      <c:catAx>
        <c:axId val="87143552"/>
        <c:scaling>
          <c:orientation val="minMax"/>
        </c:scaling>
        <c:delete val="0"/>
        <c:axPos val="b"/>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en-US"/>
          </a:p>
        </c:txPr>
        <c:crossAx val="87158784"/>
        <c:crosses val="autoZero"/>
        <c:auto val="1"/>
        <c:lblAlgn val="ctr"/>
        <c:lblOffset val="100"/>
        <c:noMultiLvlLbl val="0"/>
      </c:catAx>
      <c:valAx>
        <c:axId val="87158784"/>
        <c:scaling>
          <c:orientation val="minMax"/>
        </c:scaling>
        <c:delete val="0"/>
        <c:axPos val="l"/>
        <c:majorGridlines/>
        <c:numFmt formatCode="_(&quot;$&quot;* #,##0_);_(&quot;$&quot;* \(#,##0\);_(&quot;$&quot;* &quot;-&quot;_);_(@_)"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en-US"/>
          </a:p>
        </c:txPr>
        <c:crossAx val="87143552"/>
        <c:crosses val="autoZero"/>
        <c:crossBetween val="between"/>
        <c:dispUnits>
          <c:builtInUnit val="thousands"/>
          <c:dispUnitsLbl>
            <c:layout/>
            <c:txPr>
              <a:bodyPr/>
              <a:lstStyle/>
              <a:p>
                <a:pPr>
                  <a:defRPr sz="800">
                    <a:latin typeface="Arial" panose="020B0604020202020204" pitchFamily="34" charset="0"/>
                    <a:cs typeface="Arial" panose="020B0604020202020204" pitchFamily="34" charset="0"/>
                  </a:defRPr>
                </a:pPr>
                <a:endParaRPr lang="en-US"/>
              </a:p>
            </c:txPr>
          </c:dispUnitsLbl>
        </c:dispUnits>
      </c:valAx>
    </c:plotArea>
    <c:legend>
      <c:legendPos val="r"/>
      <c:layout/>
      <c:overlay val="0"/>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1B95D8A1</Template>
  <TotalTime>0</TotalTime>
  <Pages>13</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Susan Chan</cp:lastModifiedBy>
  <cp:revision>2</cp:revision>
  <cp:lastPrinted>2016-08-17T22:28:00Z</cp:lastPrinted>
  <dcterms:created xsi:type="dcterms:W3CDTF">2016-08-19T21:05:00Z</dcterms:created>
  <dcterms:modified xsi:type="dcterms:W3CDTF">2016-08-19T21:05:00Z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