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2CA" w:rsidRPr="00F43D56" w:rsidRDefault="004D42CA" w:rsidP="004D42CA">
      <w:pPr>
        <w:spacing w:line="360" w:lineRule="auto"/>
        <w:jc w:val="right"/>
        <w:rPr>
          <w:rFonts w:ascii="Arial" w:hAnsi="Arial" w:cs="Arial"/>
          <w:b/>
          <w:color w:val="FF0000"/>
          <w:sz w:val="28"/>
          <w:szCs w:val="28"/>
        </w:rPr>
      </w:pPr>
      <w:bookmarkStart w:id="0" w:name="_GoBack"/>
      <w:bookmarkEnd w:id="0"/>
      <w:r w:rsidRPr="00F43D56">
        <w:rPr>
          <w:rFonts w:ascii="Arial" w:hAnsi="Arial" w:cs="Arial"/>
          <w:b/>
          <w:color w:val="FF0000"/>
          <w:sz w:val="28"/>
          <w:szCs w:val="28"/>
        </w:rPr>
        <w:t>CONFIDENTIAL</w:t>
      </w:r>
    </w:p>
    <w:p w:rsidR="004D42CA" w:rsidRPr="00F43D56" w:rsidRDefault="004D42CA" w:rsidP="004D42CA">
      <w:pPr>
        <w:spacing w:line="360" w:lineRule="auto"/>
        <w:rPr>
          <w:rFonts w:ascii="Arial" w:hAnsi="Arial" w:cs="Arial"/>
        </w:rPr>
      </w:pPr>
    </w:p>
    <w:p w:rsidR="004D42CA" w:rsidRPr="00F43D56" w:rsidRDefault="004D42CA" w:rsidP="004D42CA">
      <w:pPr>
        <w:jc w:val="center"/>
        <w:rPr>
          <w:rFonts w:ascii="Arial" w:hAnsi="Arial" w:cs="Arial"/>
        </w:rPr>
      </w:pPr>
    </w:p>
    <w:p w:rsidR="004D42CA" w:rsidRPr="00F43D56" w:rsidRDefault="004D42CA" w:rsidP="004D42CA">
      <w:pPr>
        <w:jc w:val="center"/>
        <w:rPr>
          <w:rFonts w:ascii="Arial" w:hAnsi="Arial" w:cs="Arial"/>
        </w:rPr>
      </w:pPr>
    </w:p>
    <w:p w:rsidR="004D42CA" w:rsidRPr="00F43D56" w:rsidRDefault="004D42CA" w:rsidP="004D42CA">
      <w:pPr>
        <w:jc w:val="center"/>
        <w:rPr>
          <w:rFonts w:ascii="Arial" w:hAnsi="Arial" w:cs="Arial"/>
        </w:rPr>
      </w:pPr>
    </w:p>
    <w:p w:rsidR="004D42CA" w:rsidRPr="00F43D56" w:rsidRDefault="004D42CA" w:rsidP="004D42CA">
      <w:pPr>
        <w:jc w:val="center"/>
        <w:rPr>
          <w:rFonts w:ascii="Arial" w:hAnsi="Arial" w:cs="Arial"/>
        </w:rPr>
      </w:pPr>
    </w:p>
    <w:p w:rsidR="004D42CA" w:rsidRPr="00F43D56" w:rsidRDefault="004D42CA" w:rsidP="004D42CA">
      <w:pPr>
        <w:jc w:val="center"/>
        <w:rPr>
          <w:rFonts w:ascii="Arial" w:hAnsi="Arial" w:cs="Arial"/>
        </w:rPr>
      </w:pPr>
    </w:p>
    <w:p w:rsidR="004D42CA" w:rsidRPr="00F43D56" w:rsidRDefault="004D42CA" w:rsidP="004D42CA">
      <w:pPr>
        <w:jc w:val="center"/>
        <w:rPr>
          <w:rFonts w:ascii="Arial" w:hAnsi="Arial" w:cs="Arial"/>
        </w:rPr>
      </w:pPr>
    </w:p>
    <w:p w:rsidR="004D42CA" w:rsidRPr="00F43D56" w:rsidRDefault="004D42CA" w:rsidP="004D42CA">
      <w:pPr>
        <w:spacing w:line="276" w:lineRule="auto"/>
        <w:jc w:val="center"/>
        <w:rPr>
          <w:rFonts w:ascii="Arial" w:hAnsi="Arial" w:cs="Arial"/>
        </w:rPr>
      </w:pPr>
    </w:p>
    <w:p w:rsidR="004D42CA" w:rsidRPr="00F43D56" w:rsidRDefault="004D42CA" w:rsidP="000C4D23">
      <w:pPr>
        <w:keepNext/>
        <w:tabs>
          <w:tab w:val="left" w:pos="720"/>
          <w:tab w:val="left" w:pos="3960"/>
        </w:tabs>
        <w:spacing w:line="360" w:lineRule="auto"/>
        <w:jc w:val="center"/>
        <w:outlineLvl w:val="3"/>
        <w:rPr>
          <w:rFonts w:ascii="Arial" w:hAnsi="Arial" w:cs="Arial"/>
          <w:caps/>
          <w:szCs w:val="20"/>
        </w:rPr>
      </w:pPr>
      <w:r w:rsidRPr="00F43D56">
        <w:rPr>
          <w:rFonts w:ascii="Arial" w:hAnsi="Arial" w:cs="Arial"/>
          <w:caps/>
          <w:szCs w:val="20"/>
        </w:rPr>
        <w:t>CARDIAC CATHETERIZATION CHARGE CAPTURE</w:t>
      </w:r>
    </w:p>
    <w:p w:rsidR="004D42CA" w:rsidRPr="00F43D56" w:rsidRDefault="004D42CA" w:rsidP="000C4D23">
      <w:pPr>
        <w:keepNext/>
        <w:tabs>
          <w:tab w:val="left" w:pos="720"/>
          <w:tab w:val="left" w:pos="3960"/>
        </w:tabs>
        <w:spacing w:line="360" w:lineRule="auto"/>
        <w:jc w:val="center"/>
        <w:outlineLvl w:val="3"/>
        <w:rPr>
          <w:rFonts w:ascii="Arial" w:hAnsi="Arial" w:cs="Arial"/>
          <w:szCs w:val="20"/>
        </w:rPr>
      </w:pPr>
      <w:r w:rsidRPr="00F43D56">
        <w:rPr>
          <w:rFonts w:ascii="Arial" w:hAnsi="Arial" w:cs="Arial"/>
          <w:szCs w:val="20"/>
        </w:rPr>
        <w:t>AUDIT REPORT #17-601201</w:t>
      </w:r>
    </w:p>
    <w:p w:rsidR="004D42CA" w:rsidRPr="00F43D56" w:rsidRDefault="004D42CA" w:rsidP="004D42CA">
      <w:pPr>
        <w:jc w:val="center"/>
        <w:rPr>
          <w:rFonts w:ascii="Arial" w:hAnsi="Arial" w:cs="Arial"/>
        </w:rPr>
      </w:pPr>
    </w:p>
    <w:p w:rsidR="004D42CA" w:rsidRPr="00F43D56" w:rsidRDefault="004D42CA" w:rsidP="004D42CA">
      <w:pPr>
        <w:jc w:val="center"/>
        <w:rPr>
          <w:rFonts w:ascii="Arial" w:hAnsi="Arial" w:cs="Arial"/>
        </w:rPr>
      </w:pPr>
    </w:p>
    <w:p w:rsidR="004D42CA" w:rsidRPr="00F43D56" w:rsidRDefault="004D42CA" w:rsidP="004D42CA">
      <w:pPr>
        <w:jc w:val="center"/>
        <w:rPr>
          <w:rFonts w:ascii="Arial" w:hAnsi="Arial" w:cs="Arial"/>
        </w:rPr>
      </w:pPr>
    </w:p>
    <w:p w:rsidR="004D42CA" w:rsidRPr="00F43D56" w:rsidRDefault="004D42CA" w:rsidP="004D42CA">
      <w:pPr>
        <w:jc w:val="center"/>
        <w:rPr>
          <w:rFonts w:ascii="Arial" w:hAnsi="Arial" w:cs="Arial"/>
        </w:rPr>
      </w:pPr>
    </w:p>
    <w:p w:rsidR="004D42CA" w:rsidRPr="00F43D56" w:rsidRDefault="004D42CA" w:rsidP="004D42CA">
      <w:pPr>
        <w:jc w:val="center"/>
        <w:rPr>
          <w:rFonts w:ascii="Arial" w:hAnsi="Arial" w:cs="Arial"/>
        </w:rPr>
      </w:pPr>
    </w:p>
    <w:p w:rsidR="004D42CA" w:rsidRPr="00F43D56" w:rsidRDefault="004D42CA" w:rsidP="004D42CA">
      <w:pPr>
        <w:jc w:val="center"/>
        <w:rPr>
          <w:rFonts w:ascii="Arial" w:hAnsi="Arial" w:cs="Arial"/>
        </w:rPr>
      </w:pPr>
    </w:p>
    <w:p w:rsidR="004D42CA" w:rsidRPr="00F43D56" w:rsidRDefault="004D42CA" w:rsidP="004D42CA">
      <w:pPr>
        <w:jc w:val="center"/>
        <w:rPr>
          <w:rFonts w:ascii="Arial" w:hAnsi="Arial" w:cs="Arial"/>
        </w:rPr>
      </w:pPr>
    </w:p>
    <w:p w:rsidR="004D42CA" w:rsidRPr="00F43D56" w:rsidRDefault="004D42CA" w:rsidP="004D42CA">
      <w:pPr>
        <w:jc w:val="center"/>
        <w:rPr>
          <w:rFonts w:ascii="Arial" w:hAnsi="Arial" w:cs="Arial"/>
        </w:rPr>
      </w:pPr>
    </w:p>
    <w:p w:rsidR="004D42CA" w:rsidRPr="00F43D56" w:rsidRDefault="004D42CA" w:rsidP="004D42CA">
      <w:pPr>
        <w:jc w:val="center"/>
        <w:rPr>
          <w:rFonts w:ascii="Arial" w:hAnsi="Arial" w:cs="Arial"/>
        </w:rPr>
      </w:pPr>
    </w:p>
    <w:p w:rsidR="004D42CA" w:rsidRPr="00F43D56" w:rsidRDefault="004D42CA" w:rsidP="004D42CA">
      <w:pPr>
        <w:jc w:val="center"/>
        <w:rPr>
          <w:rFonts w:ascii="Arial" w:hAnsi="Arial" w:cs="Arial"/>
        </w:rPr>
      </w:pPr>
    </w:p>
    <w:p w:rsidR="004D42CA" w:rsidRPr="00F43D56" w:rsidRDefault="004D42CA" w:rsidP="004D42CA">
      <w:pPr>
        <w:jc w:val="center"/>
        <w:rPr>
          <w:rFonts w:ascii="Arial" w:hAnsi="Arial" w:cs="Arial"/>
        </w:rPr>
      </w:pPr>
    </w:p>
    <w:p w:rsidR="004D42CA" w:rsidRPr="00F43D56" w:rsidRDefault="004D42CA" w:rsidP="004D42CA">
      <w:pPr>
        <w:jc w:val="center"/>
        <w:rPr>
          <w:rFonts w:ascii="Arial" w:hAnsi="Arial" w:cs="Arial"/>
        </w:rPr>
      </w:pPr>
    </w:p>
    <w:p w:rsidR="004D42CA" w:rsidRPr="00F43D56" w:rsidRDefault="004D42CA" w:rsidP="004D42CA">
      <w:pPr>
        <w:jc w:val="center"/>
        <w:rPr>
          <w:rFonts w:ascii="Arial" w:hAnsi="Arial" w:cs="Arial"/>
        </w:rPr>
      </w:pPr>
    </w:p>
    <w:p w:rsidR="004D42CA" w:rsidRPr="00F43D56" w:rsidRDefault="004D42CA" w:rsidP="004D42CA">
      <w:pPr>
        <w:jc w:val="center"/>
        <w:rPr>
          <w:rFonts w:ascii="Arial" w:hAnsi="Arial" w:cs="Arial"/>
        </w:rPr>
      </w:pPr>
    </w:p>
    <w:p w:rsidR="004D42CA" w:rsidRPr="00F43D56" w:rsidRDefault="004D42CA" w:rsidP="004D42CA">
      <w:pPr>
        <w:jc w:val="center"/>
        <w:rPr>
          <w:rFonts w:ascii="Arial" w:hAnsi="Arial" w:cs="Arial"/>
        </w:rPr>
      </w:pPr>
    </w:p>
    <w:p w:rsidR="004D42CA" w:rsidRDefault="004D42CA" w:rsidP="004D42CA">
      <w:pPr>
        <w:jc w:val="center"/>
        <w:rPr>
          <w:rFonts w:ascii="Arial" w:hAnsi="Arial" w:cs="Arial"/>
        </w:rPr>
      </w:pPr>
    </w:p>
    <w:p w:rsidR="004D42CA" w:rsidRPr="00F43D56" w:rsidRDefault="004D42CA" w:rsidP="004D42CA">
      <w:pPr>
        <w:jc w:val="center"/>
        <w:rPr>
          <w:rFonts w:ascii="Arial" w:hAnsi="Arial" w:cs="Arial"/>
        </w:rPr>
      </w:pPr>
    </w:p>
    <w:p w:rsidR="004D42CA" w:rsidRPr="00F43D56" w:rsidRDefault="004D42CA" w:rsidP="004D42CA">
      <w:pPr>
        <w:jc w:val="center"/>
        <w:rPr>
          <w:rFonts w:ascii="Arial" w:hAnsi="Arial" w:cs="Arial"/>
        </w:rPr>
      </w:pPr>
    </w:p>
    <w:p w:rsidR="004D42CA" w:rsidRDefault="004D42CA" w:rsidP="004D42CA">
      <w:pPr>
        <w:jc w:val="center"/>
        <w:rPr>
          <w:rFonts w:ascii="Arial" w:hAnsi="Arial" w:cs="Arial"/>
          <w:sz w:val="16"/>
          <w:szCs w:val="16"/>
        </w:rPr>
      </w:pPr>
      <w:r w:rsidRPr="00F43D56">
        <w:rPr>
          <w:rFonts w:ascii="Arial" w:hAnsi="Arial" w:cs="Arial"/>
          <w:sz w:val="16"/>
          <w:szCs w:val="16"/>
        </w:rPr>
        <w:t>Audit &amp; Advisory Services</w:t>
      </w:r>
    </w:p>
    <w:p w:rsidR="004D42CA" w:rsidRPr="002C6271" w:rsidRDefault="008E26A9" w:rsidP="004D42CA">
      <w:pPr>
        <w:jc w:val="center"/>
        <w:rPr>
          <w:rFonts w:ascii="Arial" w:hAnsi="Arial" w:cs="Arial"/>
          <w:sz w:val="16"/>
          <w:szCs w:val="16"/>
        </w:rPr>
        <w:sectPr w:rsidR="004D42CA" w:rsidRPr="002C6271" w:rsidSect="000C4D23">
          <w:footerReference w:type="default" r:id="rId7"/>
          <w:pgSz w:w="15840" w:h="12240" w:orient="landscape" w:code="1"/>
          <w:pgMar w:top="1440" w:right="1440" w:bottom="864" w:left="1440" w:header="720" w:footer="720" w:gutter="0"/>
          <w:pgNumType w:start="0"/>
          <w:cols w:space="720"/>
          <w:titlePg/>
          <w:docGrid w:linePitch="326"/>
        </w:sectPr>
      </w:pPr>
      <w:r>
        <w:rPr>
          <w:rFonts w:ascii="Arial" w:hAnsi="Arial" w:cs="Arial"/>
          <w:sz w:val="16"/>
          <w:szCs w:val="16"/>
        </w:rPr>
        <w:t>July 2018</w:t>
      </w:r>
    </w:p>
    <w:p w:rsidR="004D42CA" w:rsidRPr="00F43D56" w:rsidRDefault="004D42CA" w:rsidP="000C4D23">
      <w:pPr>
        <w:keepNext/>
        <w:tabs>
          <w:tab w:val="left" w:pos="720"/>
          <w:tab w:val="left" w:pos="3960"/>
        </w:tabs>
        <w:spacing w:line="360" w:lineRule="auto"/>
        <w:jc w:val="center"/>
        <w:outlineLvl w:val="3"/>
        <w:rPr>
          <w:rFonts w:ascii="Arial" w:hAnsi="Arial" w:cs="Arial"/>
          <w:caps/>
          <w:szCs w:val="20"/>
        </w:rPr>
      </w:pPr>
      <w:r w:rsidRPr="00F43D56">
        <w:rPr>
          <w:rFonts w:ascii="Arial" w:hAnsi="Arial" w:cs="Arial"/>
          <w:caps/>
          <w:szCs w:val="20"/>
        </w:rPr>
        <w:lastRenderedPageBreak/>
        <w:t>CARDIAC CATHETERIZATION CHARGE CAPTURE</w:t>
      </w:r>
    </w:p>
    <w:p w:rsidR="004D42CA" w:rsidRPr="00F43D56" w:rsidRDefault="004D42CA" w:rsidP="004D42CA">
      <w:pPr>
        <w:keepNext/>
        <w:tabs>
          <w:tab w:val="left" w:pos="720"/>
          <w:tab w:val="left" w:pos="3960"/>
        </w:tabs>
        <w:spacing w:line="276" w:lineRule="auto"/>
        <w:jc w:val="center"/>
        <w:outlineLvl w:val="3"/>
        <w:rPr>
          <w:rFonts w:ascii="Arial" w:hAnsi="Arial" w:cs="Arial"/>
          <w:szCs w:val="20"/>
        </w:rPr>
      </w:pPr>
      <w:r w:rsidRPr="00F43D56">
        <w:rPr>
          <w:rFonts w:ascii="Arial" w:hAnsi="Arial" w:cs="Arial"/>
          <w:szCs w:val="20"/>
        </w:rPr>
        <w:t>AUDIT REPORT #17-601201</w:t>
      </w:r>
    </w:p>
    <w:p w:rsidR="004D42CA" w:rsidRPr="00F43D56" w:rsidRDefault="004D42CA" w:rsidP="004D42CA">
      <w:pPr>
        <w:keepNext/>
        <w:spacing w:line="360" w:lineRule="auto"/>
        <w:jc w:val="both"/>
        <w:outlineLvl w:val="0"/>
        <w:rPr>
          <w:rFonts w:ascii="Arial" w:hAnsi="Arial" w:cs="Arial"/>
          <w:szCs w:val="20"/>
          <w:u w:val="single"/>
        </w:rPr>
      </w:pPr>
    </w:p>
    <w:p w:rsidR="004D42CA" w:rsidRPr="00F43D56" w:rsidRDefault="004D42CA" w:rsidP="004D42CA">
      <w:pPr>
        <w:keepNext/>
        <w:spacing w:line="276" w:lineRule="auto"/>
        <w:jc w:val="both"/>
        <w:outlineLvl w:val="0"/>
        <w:rPr>
          <w:rFonts w:ascii="Arial" w:hAnsi="Arial" w:cs="Arial"/>
          <w:szCs w:val="20"/>
          <w:u w:val="single"/>
        </w:rPr>
      </w:pPr>
      <w:r w:rsidRPr="00F43D56">
        <w:rPr>
          <w:rFonts w:ascii="Arial" w:hAnsi="Arial" w:cs="Arial"/>
          <w:szCs w:val="20"/>
          <w:u w:val="single"/>
        </w:rPr>
        <w:t>Background</w:t>
      </w:r>
    </w:p>
    <w:p w:rsidR="004D42CA" w:rsidRPr="00F43D56" w:rsidRDefault="004D42CA" w:rsidP="004D42CA">
      <w:pPr>
        <w:spacing w:line="276" w:lineRule="auto"/>
        <w:jc w:val="both"/>
        <w:rPr>
          <w:rFonts w:ascii="Arial" w:hAnsi="Arial" w:cs="Arial"/>
        </w:rPr>
      </w:pPr>
    </w:p>
    <w:p w:rsidR="004D42CA" w:rsidRPr="00F43D56" w:rsidRDefault="004D42CA" w:rsidP="004D42CA">
      <w:pPr>
        <w:spacing w:line="276" w:lineRule="auto"/>
        <w:jc w:val="both"/>
        <w:rPr>
          <w:rFonts w:ascii="Arial" w:hAnsi="Arial" w:cs="Arial"/>
          <w:szCs w:val="20"/>
        </w:rPr>
      </w:pPr>
      <w:r w:rsidRPr="00F43D56">
        <w:rPr>
          <w:rFonts w:ascii="Arial" w:hAnsi="Arial" w:cs="Arial"/>
          <w:szCs w:val="20"/>
        </w:rPr>
        <w:t>In accordance with the UCLA Health Sciences audit plan for fiscal year 2016-17, Audit &amp; Advisory Services (A&amp;AS) conducted a review of the revenue cycle process for the Cardiac Catheterization Laboratories (Cath Labs).  There are six labs located on the 2</w:t>
      </w:r>
      <w:r w:rsidRPr="00F43D56">
        <w:rPr>
          <w:rFonts w:ascii="Arial" w:hAnsi="Arial" w:cs="Arial"/>
          <w:szCs w:val="20"/>
          <w:vertAlign w:val="superscript"/>
        </w:rPr>
        <w:t>nd</w:t>
      </w:r>
      <w:r w:rsidRPr="00F43D56">
        <w:rPr>
          <w:rFonts w:ascii="Arial" w:hAnsi="Arial" w:cs="Arial"/>
          <w:szCs w:val="20"/>
        </w:rPr>
        <w:t xml:space="preserve"> floor in Ronald Reagan UCLA Medical Center (RRUCLA), as well as a procedure room on the 7</w:t>
      </w:r>
      <w:r w:rsidRPr="00F43D56">
        <w:rPr>
          <w:rFonts w:ascii="Arial" w:hAnsi="Arial" w:cs="Arial"/>
          <w:szCs w:val="20"/>
          <w:vertAlign w:val="superscript"/>
        </w:rPr>
        <w:t>th</w:t>
      </w:r>
      <w:r w:rsidRPr="00F43D56">
        <w:rPr>
          <w:rFonts w:ascii="Arial" w:hAnsi="Arial" w:cs="Arial"/>
          <w:szCs w:val="20"/>
        </w:rPr>
        <w:t xml:space="preserve"> floor in the Coronary Care Unit (CCU). There are two labs in the UCLA Medical Center, Santa Monica (SMUCLA), one of which is a dedicated room for Cath Lab cases and one that is shared with Interventional Radiology cases. </w:t>
      </w:r>
    </w:p>
    <w:p w:rsidR="004D42CA" w:rsidRPr="00F43D56" w:rsidRDefault="004D42CA" w:rsidP="004D42CA">
      <w:pPr>
        <w:spacing w:line="276" w:lineRule="auto"/>
        <w:jc w:val="both"/>
        <w:rPr>
          <w:rFonts w:ascii="Arial" w:hAnsi="Arial" w:cs="Arial"/>
          <w:szCs w:val="20"/>
        </w:rPr>
      </w:pPr>
    </w:p>
    <w:p w:rsidR="004D42CA" w:rsidRPr="00F43D56" w:rsidRDefault="004D42CA" w:rsidP="004D42CA">
      <w:pPr>
        <w:spacing w:line="276" w:lineRule="auto"/>
        <w:jc w:val="both"/>
        <w:rPr>
          <w:rFonts w:ascii="Arial" w:hAnsi="Arial" w:cs="Arial"/>
          <w:szCs w:val="20"/>
        </w:rPr>
      </w:pPr>
      <w:r w:rsidRPr="00F43D56">
        <w:rPr>
          <w:rFonts w:ascii="Arial" w:hAnsi="Arial" w:cs="Arial"/>
          <w:szCs w:val="20"/>
        </w:rPr>
        <w:t>The labs are open seven days per week from 7 a.m. to 5 p.m., with weekend cases staffed on a call basis. The labs treat adult and pediatric cardiology cases, specializing in electrophysiology and structural heart procedures. Invasive and diagnostic procedures are performed in the labs, including ablation work, implantations, and extractions.</w:t>
      </w:r>
    </w:p>
    <w:p w:rsidR="004D42CA" w:rsidRPr="00F43D56" w:rsidRDefault="004D42CA" w:rsidP="004D42CA">
      <w:pPr>
        <w:jc w:val="both"/>
        <w:rPr>
          <w:rFonts w:ascii="Arial" w:hAnsi="Arial" w:cs="Arial"/>
          <w:szCs w:val="20"/>
        </w:rPr>
      </w:pPr>
    </w:p>
    <w:p w:rsidR="004D42CA" w:rsidRPr="00F43D56" w:rsidRDefault="004D42CA" w:rsidP="004D42CA">
      <w:pPr>
        <w:spacing w:line="276" w:lineRule="auto"/>
        <w:jc w:val="both"/>
        <w:rPr>
          <w:rFonts w:ascii="Arial" w:hAnsi="Arial" w:cs="Arial"/>
          <w:szCs w:val="20"/>
        </w:rPr>
      </w:pPr>
      <w:r w:rsidRPr="00F43D56">
        <w:rPr>
          <w:rFonts w:ascii="Arial" w:hAnsi="Arial" w:cs="Arial"/>
          <w:szCs w:val="20"/>
        </w:rPr>
        <w:t xml:space="preserve">The Cath Labs at RRUCLA use the </w:t>
      </w:r>
      <w:proofErr w:type="spellStart"/>
      <w:r w:rsidRPr="00F43D56">
        <w:rPr>
          <w:rFonts w:ascii="Arial" w:hAnsi="Arial" w:cs="Arial"/>
          <w:szCs w:val="20"/>
        </w:rPr>
        <w:t>MacLab</w:t>
      </w:r>
      <w:proofErr w:type="spellEnd"/>
      <w:r w:rsidRPr="00F43D56">
        <w:rPr>
          <w:rFonts w:ascii="Arial" w:hAnsi="Arial" w:cs="Arial"/>
          <w:szCs w:val="20"/>
        </w:rPr>
        <w:t xml:space="preserve"> information system, in conjunction with CareConnect, to document and charge for supplies used. Cath Lab technicians record supplies used in real time into the </w:t>
      </w:r>
      <w:proofErr w:type="spellStart"/>
      <w:r w:rsidRPr="00F43D56">
        <w:rPr>
          <w:rFonts w:ascii="Arial" w:hAnsi="Arial" w:cs="Arial"/>
          <w:szCs w:val="20"/>
        </w:rPr>
        <w:t>MacLab</w:t>
      </w:r>
      <w:proofErr w:type="spellEnd"/>
      <w:r w:rsidRPr="00F43D56">
        <w:rPr>
          <w:rFonts w:ascii="Arial" w:hAnsi="Arial" w:cs="Arial"/>
          <w:szCs w:val="20"/>
        </w:rPr>
        <w:t xml:space="preserve"> information system, while nurses record supplies used into CareConnect. Cath Lab billing staff reconcile </w:t>
      </w:r>
      <w:proofErr w:type="spellStart"/>
      <w:r w:rsidRPr="00F43D56">
        <w:rPr>
          <w:rFonts w:ascii="Arial" w:hAnsi="Arial" w:cs="Arial"/>
          <w:szCs w:val="20"/>
        </w:rPr>
        <w:t>MacLab</w:t>
      </w:r>
      <w:proofErr w:type="spellEnd"/>
      <w:r w:rsidRPr="00F43D56">
        <w:rPr>
          <w:rFonts w:ascii="Arial" w:hAnsi="Arial" w:cs="Arial"/>
          <w:szCs w:val="20"/>
        </w:rPr>
        <w:t xml:space="preserve"> to CareConnect. </w:t>
      </w:r>
    </w:p>
    <w:p w:rsidR="004D42CA" w:rsidRPr="00F43D56" w:rsidRDefault="004D42CA" w:rsidP="004D42CA">
      <w:pPr>
        <w:spacing w:line="276" w:lineRule="auto"/>
        <w:jc w:val="both"/>
        <w:rPr>
          <w:rFonts w:ascii="Arial" w:hAnsi="Arial" w:cs="Arial"/>
          <w:szCs w:val="20"/>
        </w:rPr>
      </w:pPr>
    </w:p>
    <w:p w:rsidR="004D42CA" w:rsidRPr="00F43D56" w:rsidRDefault="004D42CA" w:rsidP="004D42CA">
      <w:pPr>
        <w:spacing w:line="276" w:lineRule="auto"/>
        <w:jc w:val="both"/>
        <w:rPr>
          <w:rFonts w:ascii="Arial" w:hAnsi="Arial" w:cs="Arial"/>
          <w:szCs w:val="20"/>
        </w:rPr>
      </w:pPr>
      <w:r w:rsidRPr="00F43D56">
        <w:rPr>
          <w:rFonts w:ascii="Arial" w:hAnsi="Arial" w:cs="Arial"/>
          <w:szCs w:val="20"/>
        </w:rPr>
        <w:t>For Cath Lab cases completed on the 7</w:t>
      </w:r>
      <w:r w:rsidRPr="00F43D56">
        <w:rPr>
          <w:rFonts w:ascii="Arial" w:hAnsi="Arial" w:cs="Arial"/>
          <w:szCs w:val="20"/>
          <w:vertAlign w:val="superscript"/>
        </w:rPr>
        <w:t>th</w:t>
      </w:r>
      <w:r w:rsidRPr="00F43D56">
        <w:rPr>
          <w:rFonts w:ascii="Arial" w:hAnsi="Arial" w:cs="Arial"/>
          <w:szCs w:val="20"/>
        </w:rPr>
        <w:t xml:space="preserve"> floor, CCU nurses record supplies used into CareConnect. Cath Lab staff post the charges, as revenue for the procedures is attributed to the Cath Lab. However, a reconciliation to the </w:t>
      </w:r>
      <w:proofErr w:type="spellStart"/>
      <w:r w:rsidRPr="00F43D56">
        <w:rPr>
          <w:rFonts w:ascii="Arial" w:hAnsi="Arial" w:cs="Arial"/>
          <w:szCs w:val="20"/>
        </w:rPr>
        <w:t>MacLab</w:t>
      </w:r>
      <w:proofErr w:type="spellEnd"/>
      <w:r w:rsidRPr="00F43D56">
        <w:rPr>
          <w:rFonts w:ascii="Arial" w:hAnsi="Arial" w:cs="Arial"/>
          <w:szCs w:val="20"/>
        </w:rPr>
        <w:t xml:space="preserve"> system cannot be completed because the CCU does not use the </w:t>
      </w:r>
      <w:proofErr w:type="spellStart"/>
      <w:r w:rsidRPr="00F43D56">
        <w:rPr>
          <w:rFonts w:ascii="Arial" w:hAnsi="Arial" w:cs="Arial"/>
          <w:szCs w:val="20"/>
        </w:rPr>
        <w:t>MacLab</w:t>
      </w:r>
      <w:proofErr w:type="spellEnd"/>
      <w:r w:rsidRPr="00F43D56">
        <w:rPr>
          <w:rFonts w:ascii="Arial" w:hAnsi="Arial" w:cs="Arial"/>
          <w:szCs w:val="20"/>
        </w:rPr>
        <w:t xml:space="preserve"> system. Supply costs are also attributable to the Cath Lab, and Cath Lab staff are responsible for maintaining the supply room.</w:t>
      </w:r>
    </w:p>
    <w:p w:rsidR="004D42CA" w:rsidRPr="00F43D56" w:rsidRDefault="004D42CA" w:rsidP="004D42CA">
      <w:pPr>
        <w:spacing w:line="276" w:lineRule="auto"/>
        <w:jc w:val="both"/>
        <w:rPr>
          <w:rFonts w:ascii="Arial" w:hAnsi="Arial" w:cs="Arial"/>
          <w:szCs w:val="20"/>
        </w:rPr>
      </w:pPr>
    </w:p>
    <w:p w:rsidR="004D42CA" w:rsidRPr="00F43D56" w:rsidRDefault="004D42CA" w:rsidP="004D42CA">
      <w:pPr>
        <w:spacing w:line="276" w:lineRule="auto"/>
        <w:jc w:val="both"/>
        <w:rPr>
          <w:rFonts w:ascii="Arial" w:hAnsi="Arial" w:cs="Arial"/>
          <w:szCs w:val="20"/>
        </w:rPr>
      </w:pPr>
      <w:r w:rsidRPr="00F43D56">
        <w:rPr>
          <w:rFonts w:ascii="Arial" w:hAnsi="Arial" w:cs="Arial"/>
          <w:szCs w:val="20"/>
        </w:rPr>
        <w:t xml:space="preserve">The Cath Labs at SMUCLA use </w:t>
      </w:r>
      <w:proofErr w:type="spellStart"/>
      <w:r w:rsidRPr="00F43D56">
        <w:rPr>
          <w:rFonts w:ascii="Arial" w:hAnsi="Arial" w:cs="Arial"/>
          <w:szCs w:val="20"/>
        </w:rPr>
        <w:t>OptiFlex</w:t>
      </w:r>
      <w:proofErr w:type="spellEnd"/>
      <w:r w:rsidRPr="00F43D56">
        <w:rPr>
          <w:rFonts w:ascii="Arial" w:hAnsi="Arial" w:cs="Arial"/>
          <w:szCs w:val="20"/>
        </w:rPr>
        <w:t xml:space="preserve"> to document supply usage. Billers reconcile supplies documented in </w:t>
      </w:r>
      <w:proofErr w:type="spellStart"/>
      <w:r w:rsidRPr="00F43D56">
        <w:rPr>
          <w:rFonts w:ascii="Arial" w:hAnsi="Arial" w:cs="Arial"/>
          <w:szCs w:val="20"/>
        </w:rPr>
        <w:t>OptiFlex</w:t>
      </w:r>
      <w:proofErr w:type="spellEnd"/>
      <w:r w:rsidRPr="00F43D56">
        <w:rPr>
          <w:rFonts w:ascii="Arial" w:hAnsi="Arial" w:cs="Arial"/>
          <w:szCs w:val="20"/>
        </w:rPr>
        <w:t xml:space="preserve"> to supplies documented in CareConnect. </w:t>
      </w:r>
    </w:p>
    <w:p w:rsidR="004D42CA" w:rsidRPr="00F43D56" w:rsidRDefault="004D42CA" w:rsidP="004D42CA">
      <w:pPr>
        <w:spacing w:line="276" w:lineRule="auto"/>
        <w:jc w:val="both"/>
        <w:rPr>
          <w:rFonts w:ascii="Arial" w:hAnsi="Arial" w:cs="Arial"/>
          <w:szCs w:val="20"/>
        </w:rPr>
      </w:pPr>
    </w:p>
    <w:p w:rsidR="004D42CA" w:rsidRPr="00F43D56" w:rsidRDefault="004D42CA" w:rsidP="004D42CA">
      <w:pPr>
        <w:spacing w:line="276" w:lineRule="auto"/>
        <w:jc w:val="both"/>
        <w:rPr>
          <w:rFonts w:ascii="Arial" w:hAnsi="Arial" w:cs="Arial"/>
          <w:szCs w:val="20"/>
        </w:rPr>
      </w:pPr>
      <w:r w:rsidRPr="00F43D56">
        <w:rPr>
          <w:rFonts w:ascii="Arial" w:hAnsi="Arial" w:cs="Arial"/>
          <w:szCs w:val="20"/>
        </w:rPr>
        <w:t xml:space="preserve">In addition to supply charges, technical fees are charged based on procedure time, with a base rate of $9,000 for the first hour and $500 for every 15 minutes thereafter. </w:t>
      </w:r>
    </w:p>
    <w:p w:rsidR="004D42CA" w:rsidRPr="00F43D56" w:rsidRDefault="004D42CA" w:rsidP="004D42CA">
      <w:pPr>
        <w:spacing w:line="276" w:lineRule="auto"/>
        <w:jc w:val="both"/>
        <w:rPr>
          <w:rFonts w:ascii="Arial" w:hAnsi="Arial" w:cs="Arial"/>
          <w:szCs w:val="20"/>
        </w:rPr>
      </w:pPr>
    </w:p>
    <w:p w:rsidR="004D42CA" w:rsidRPr="00F43D56" w:rsidRDefault="004D42CA" w:rsidP="004D42CA">
      <w:pPr>
        <w:spacing w:line="276" w:lineRule="auto"/>
        <w:jc w:val="both"/>
        <w:rPr>
          <w:rFonts w:ascii="Arial" w:hAnsi="Arial" w:cs="Arial"/>
          <w:szCs w:val="20"/>
        </w:rPr>
      </w:pPr>
      <w:r w:rsidRPr="00F43D56">
        <w:rPr>
          <w:rFonts w:ascii="Arial" w:hAnsi="Arial" w:cs="Arial"/>
          <w:szCs w:val="20"/>
        </w:rPr>
        <w:lastRenderedPageBreak/>
        <w:t>For the fiscal year 2016-17 through March 31, 2017, gross revenue generated by the Cath Labs totaled $85,212,923 for RRUCLA and $11,989,520 for SMUCLA. For the calendar year 2016, through December 31, 2016, completed Cath Lab cases totaled 3,752 for RRUCLA and 854 for SMUCLA</w:t>
      </w:r>
    </w:p>
    <w:p w:rsidR="004D42CA" w:rsidRPr="00F43D56" w:rsidRDefault="004D42CA" w:rsidP="004D42CA">
      <w:pPr>
        <w:spacing w:line="276" w:lineRule="auto"/>
        <w:jc w:val="both"/>
        <w:rPr>
          <w:rFonts w:ascii="Arial" w:hAnsi="Arial" w:cs="Arial"/>
          <w:szCs w:val="20"/>
        </w:rPr>
      </w:pPr>
      <w:r w:rsidRPr="00F43D56">
        <w:rPr>
          <w:rFonts w:ascii="Arial" w:hAnsi="Arial" w:cs="Arial"/>
          <w:szCs w:val="20"/>
        </w:rPr>
        <w:tab/>
      </w:r>
    </w:p>
    <w:p w:rsidR="004D42CA" w:rsidRPr="00F43D56" w:rsidRDefault="004D42CA" w:rsidP="004D42CA">
      <w:pPr>
        <w:spacing w:line="276" w:lineRule="auto"/>
        <w:jc w:val="both"/>
        <w:rPr>
          <w:rFonts w:ascii="Arial" w:hAnsi="Arial" w:cs="Arial"/>
          <w:szCs w:val="20"/>
        </w:rPr>
      </w:pPr>
      <w:r w:rsidRPr="00F43D56">
        <w:rPr>
          <w:rFonts w:ascii="Arial" w:hAnsi="Arial" w:cs="Arial"/>
          <w:szCs w:val="20"/>
          <w:u w:val="single"/>
        </w:rPr>
        <w:t>Purpose and Scope</w:t>
      </w:r>
    </w:p>
    <w:p w:rsidR="004D42CA" w:rsidRPr="00F43D56" w:rsidRDefault="004D42CA" w:rsidP="004D42CA">
      <w:pPr>
        <w:spacing w:line="276" w:lineRule="auto"/>
        <w:jc w:val="both"/>
        <w:rPr>
          <w:rFonts w:ascii="Arial" w:hAnsi="Arial" w:cs="Arial"/>
        </w:rPr>
      </w:pPr>
    </w:p>
    <w:p w:rsidR="004D42CA" w:rsidRPr="00F43D56" w:rsidRDefault="004D42CA" w:rsidP="004D42CA">
      <w:pPr>
        <w:spacing w:line="276" w:lineRule="auto"/>
        <w:jc w:val="both"/>
        <w:rPr>
          <w:rFonts w:ascii="Arial" w:hAnsi="Arial" w:cs="Arial"/>
        </w:rPr>
      </w:pPr>
      <w:r w:rsidRPr="00F43D56">
        <w:rPr>
          <w:rFonts w:ascii="Arial" w:hAnsi="Arial" w:cs="Arial"/>
        </w:rPr>
        <w:t>The purpose of the audit was to determine the adequacy and effectiveness of internal controls for Cath Lab charge capture at RRUCLA and SMUCLA.</w:t>
      </w:r>
    </w:p>
    <w:p w:rsidR="004D42CA" w:rsidRPr="00F43D56" w:rsidRDefault="004D42CA" w:rsidP="004D42CA">
      <w:pPr>
        <w:spacing w:line="276" w:lineRule="auto"/>
        <w:jc w:val="both"/>
        <w:rPr>
          <w:rFonts w:ascii="Arial" w:hAnsi="Arial" w:cs="Arial"/>
        </w:rPr>
      </w:pPr>
    </w:p>
    <w:p w:rsidR="004D42CA" w:rsidRPr="00F43D56" w:rsidRDefault="004D42CA" w:rsidP="004D42CA">
      <w:pPr>
        <w:spacing w:line="276" w:lineRule="auto"/>
        <w:jc w:val="both"/>
        <w:rPr>
          <w:rFonts w:ascii="Arial" w:hAnsi="Arial" w:cs="Arial"/>
        </w:rPr>
      </w:pPr>
      <w:r w:rsidRPr="00F43D56">
        <w:rPr>
          <w:rFonts w:ascii="Arial" w:hAnsi="Arial" w:cs="Arial"/>
        </w:rPr>
        <w:t xml:space="preserve">The scope of the audit included interviews with Cath Lab personnel and audit tests within the following areas: </w:t>
      </w:r>
    </w:p>
    <w:p w:rsidR="004D42CA" w:rsidRPr="00F43D56" w:rsidRDefault="004D42CA" w:rsidP="004D42CA">
      <w:pPr>
        <w:spacing w:line="276" w:lineRule="auto"/>
        <w:jc w:val="both"/>
        <w:rPr>
          <w:rFonts w:ascii="Arial" w:hAnsi="Arial" w:cs="Arial"/>
        </w:rPr>
      </w:pPr>
    </w:p>
    <w:p w:rsidR="004D42CA" w:rsidRPr="00F43D56" w:rsidRDefault="004D42CA" w:rsidP="004D42CA">
      <w:pPr>
        <w:numPr>
          <w:ilvl w:val="0"/>
          <w:numId w:val="1"/>
        </w:numPr>
        <w:spacing w:line="276" w:lineRule="auto"/>
        <w:ind w:left="540" w:hanging="540"/>
        <w:contextualSpacing/>
        <w:jc w:val="both"/>
        <w:rPr>
          <w:rFonts w:ascii="Arial" w:hAnsi="Arial" w:cs="Arial"/>
        </w:rPr>
      </w:pPr>
      <w:r w:rsidRPr="00F43D56">
        <w:rPr>
          <w:rFonts w:ascii="Arial" w:hAnsi="Arial" w:cs="Arial"/>
        </w:rPr>
        <w:t>Charge Accuracy</w:t>
      </w:r>
    </w:p>
    <w:p w:rsidR="004D42CA" w:rsidRPr="00F43D56" w:rsidRDefault="004D42CA" w:rsidP="004D42CA">
      <w:pPr>
        <w:numPr>
          <w:ilvl w:val="0"/>
          <w:numId w:val="1"/>
        </w:numPr>
        <w:spacing w:line="276" w:lineRule="auto"/>
        <w:ind w:left="540" w:hanging="540"/>
        <w:contextualSpacing/>
        <w:jc w:val="both"/>
        <w:rPr>
          <w:rFonts w:ascii="Arial" w:hAnsi="Arial" w:cs="Arial"/>
        </w:rPr>
      </w:pPr>
      <w:r w:rsidRPr="00F43D56">
        <w:rPr>
          <w:rFonts w:ascii="Arial" w:hAnsi="Arial" w:cs="Arial"/>
        </w:rPr>
        <w:t>Charge Description Master</w:t>
      </w:r>
    </w:p>
    <w:p w:rsidR="004D42CA" w:rsidRPr="00F43D56" w:rsidRDefault="004D42CA" w:rsidP="004D42CA">
      <w:pPr>
        <w:spacing w:line="276" w:lineRule="auto"/>
        <w:ind w:left="540"/>
        <w:contextualSpacing/>
        <w:jc w:val="both"/>
        <w:rPr>
          <w:rFonts w:ascii="Arial" w:hAnsi="Arial" w:cs="Arial"/>
        </w:rPr>
      </w:pPr>
    </w:p>
    <w:p w:rsidR="004D42CA" w:rsidRPr="00F43D56" w:rsidRDefault="004D42CA" w:rsidP="004D42CA">
      <w:pPr>
        <w:spacing w:line="276" w:lineRule="auto"/>
        <w:jc w:val="both"/>
        <w:rPr>
          <w:rFonts w:ascii="Arial" w:hAnsi="Arial" w:cs="Arial"/>
          <w:szCs w:val="20"/>
        </w:rPr>
      </w:pPr>
      <w:r w:rsidRPr="00F43D56">
        <w:rPr>
          <w:rFonts w:ascii="Arial" w:hAnsi="Arial" w:cs="Arial"/>
          <w:szCs w:val="20"/>
        </w:rPr>
        <w:t xml:space="preserve">The audit was performed in conformance with the </w:t>
      </w:r>
      <w:r w:rsidRPr="00F43D56">
        <w:rPr>
          <w:rFonts w:ascii="Arial" w:hAnsi="Arial" w:cs="Arial"/>
          <w:i/>
          <w:szCs w:val="20"/>
        </w:rPr>
        <w:t>International Standards for the Professional Practice of Internal Auditing</w:t>
      </w:r>
      <w:r w:rsidRPr="00F43D56">
        <w:rPr>
          <w:rFonts w:ascii="Arial" w:hAnsi="Arial" w:cs="Arial"/>
          <w:szCs w:val="20"/>
        </w:rPr>
        <w:t xml:space="preserve"> and included such tests, observations, and interviews considered necessary to achieve the objective. </w:t>
      </w:r>
    </w:p>
    <w:p w:rsidR="004D42CA" w:rsidRPr="00F43D56" w:rsidRDefault="004D42CA" w:rsidP="004D42CA">
      <w:pPr>
        <w:keepNext/>
        <w:tabs>
          <w:tab w:val="left" w:pos="3960"/>
        </w:tabs>
        <w:spacing w:line="276" w:lineRule="auto"/>
        <w:jc w:val="both"/>
        <w:outlineLvl w:val="3"/>
        <w:rPr>
          <w:rFonts w:ascii="Arial" w:hAnsi="Arial" w:cs="Arial"/>
          <w:szCs w:val="20"/>
        </w:rPr>
      </w:pPr>
    </w:p>
    <w:p w:rsidR="004D42CA" w:rsidRPr="00F43D56" w:rsidRDefault="004D42CA" w:rsidP="004D42CA">
      <w:pPr>
        <w:spacing w:line="276" w:lineRule="auto"/>
        <w:rPr>
          <w:rFonts w:ascii="Arial" w:hAnsi="Arial" w:cs="Arial"/>
          <w:szCs w:val="20"/>
          <w:u w:val="single"/>
        </w:rPr>
      </w:pPr>
      <w:r w:rsidRPr="00F43D56">
        <w:rPr>
          <w:rFonts w:ascii="Arial" w:hAnsi="Arial" w:cs="Arial"/>
          <w:szCs w:val="20"/>
          <w:u w:val="single"/>
        </w:rPr>
        <w:t>Summary Opinion</w:t>
      </w:r>
    </w:p>
    <w:p w:rsidR="004D42CA" w:rsidRPr="00F43D56" w:rsidRDefault="004D42CA" w:rsidP="004D42CA">
      <w:pPr>
        <w:tabs>
          <w:tab w:val="left" w:pos="3960"/>
        </w:tabs>
        <w:spacing w:line="276" w:lineRule="auto"/>
        <w:jc w:val="both"/>
        <w:rPr>
          <w:rFonts w:ascii="Arial" w:hAnsi="Arial" w:cs="Arial"/>
        </w:rPr>
      </w:pPr>
    </w:p>
    <w:p w:rsidR="004D42CA" w:rsidRPr="00F43D56" w:rsidRDefault="004D42CA" w:rsidP="004D42CA">
      <w:pPr>
        <w:tabs>
          <w:tab w:val="left" w:pos="3960"/>
        </w:tabs>
        <w:spacing w:line="276" w:lineRule="auto"/>
        <w:jc w:val="both"/>
        <w:rPr>
          <w:rFonts w:ascii="Arial" w:hAnsi="Arial" w:cs="Arial"/>
        </w:rPr>
      </w:pPr>
      <w:r w:rsidRPr="00F43D56">
        <w:rPr>
          <w:rFonts w:ascii="Arial" w:hAnsi="Arial" w:cs="Arial"/>
        </w:rPr>
        <w:t xml:space="preserve">Based on the results of the work performed within the scope of the audit, the Cath Labs have implemented some good operational controls.  However, some control lapses were identified, as summarized below.  </w:t>
      </w:r>
    </w:p>
    <w:p w:rsidR="004D42CA" w:rsidRPr="00F43D56" w:rsidRDefault="004D42CA" w:rsidP="004D42CA">
      <w:pPr>
        <w:tabs>
          <w:tab w:val="left" w:pos="3960"/>
        </w:tabs>
        <w:spacing w:line="276" w:lineRule="auto"/>
        <w:jc w:val="both"/>
        <w:rPr>
          <w:rFonts w:ascii="Arial" w:hAnsi="Arial" w:cs="Arial"/>
        </w:rPr>
      </w:pPr>
    </w:p>
    <w:p w:rsidR="004D42CA" w:rsidRPr="00F43D56" w:rsidRDefault="004D42CA" w:rsidP="004D42CA">
      <w:pPr>
        <w:tabs>
          <w:tab w:val="left" w:pos="3960"/>
        </w:tabs>
        <w:spacing w:line="276" w:lineRule="auto"/>
        <w:jc w:val="both"/>
        <w:rPr>
          <w:rFonts w:ascii="Arial" w:hAnsi="Arial" w:cs="Arial"/>
          <w:i/>
        </w:rPr>
      </w:pPr>
      <w:r w:rsidRPr="00F43D56">
        <w:rPr>
          <w:rFonts w:ascii="Arial" w:hAnsi="Arial" w:cs="Arial"/>
          <w:i/>
        </w:rPr>
        <w:t>Charge Accuracy</w:t>
      </w:r>
    </w:p>
    <w:p w:rsidR="004D42CA" w:rsidRPr="00F43D56" w:rsidRDefault="004D42CA" w:rsidP="000C4D23">
      <w:pPr>
        <w:numPr>
          <w:ilvl w:val="0"/>
          <w:numId w:val="1"/>
        </w:numPr>
        <w:spacing w:line="276" w:lineRule="auto"/>
        <w:ind w:left="540" w:hanging="540"/>
        <w:contextualSpacing/>
        <w:jc w:val="both"/>
        <w:rPr>
          <w:rFonts w:ascii="Arial" w:hAnsi="Arial" w:cs="Arial"/>
        </w:rPr>
      </w:pPr>
      <w:r w:rsidRPr="00F43D56">
        <w:rPr>
          <w:rFonts w:ascii="Arial" w:hAnsi="Arial" w:cs="Arial"/>
        </w:rPr>
        <w:t xml:space="preserve">Sample testing of 26 cases selected from the RRUCLA and SMUCLA Cath Labs indicated that documentation generally supported the charges billed for supply items.  However, there were </w:t>
      </w:r>
      <w:r>
        <w:rPr>
          <w:rFonts w:ascii="Arial" w:hAnsi="Arial" w:cs="Arial"/>
        </w:rPr>
        <w:t>11</w:t>
      </w:r>
      <w:r w:rsidRPr="00F43D56">
        <w:rPr>
          <w:rFonts w:ascii="Arial" w:hAnsi="Arial" w:cs="Arial"/>
        </w:rPr>
        <w:t xml:space="preserve"> individual cases in which some billing discrepancies were noted.  In </w:t>
      </w:r>
      <w:r>
        <w:rPr>
          <w:rFonts w:ascii="Arial" w:hAnsi="Arial" w:cs="Arial"/>
        </w:rPr>
        <w:t>one case</w:t>
      </w:r>
      <w:r w:rsidRPr="00F43D56">
        <w:rPr>
          <w:rFonts w:ascii="Arial" w:hAnsi="Arial" w:cs="Arial"/>
        </w:rPr>
        <w:t xml:space="preserve">, </w:t>
      </w:r>
      <w:r>
        <w:rPr>
          <w:rFonts w:ascii="Arial" w:hAnsi="Arial" w:cs="Arial"/>
        </w:rPr>
        <w:t xml:space="preserve">a </w:t>
      </w:r>
      <w:r w:rsidRPr="00F43D56">
        <w:rPr>
          <w:rFonts w:ascii="Arial" w:hAnsi="Arial" w:cs="Arial"/>
        </w:rPr>
        <w:t>supply it</w:t>
      </w:r>
      <w:r>
        <w:rPr>
          <w:rFonts w:ascii="Arial" w:hAnsi="Arial" w:cs="Arial"/>
        </w:rPr>
        <w:t>em</w:t>
      </w:r>
      <w:r w:rsidRPr="00F43D56">
        <w:rPr>
          <w:rFonts w:ascii="Arial" w:hAnsi="Arial" w:cs="Arial"/>
        </w:rPr>
        <w:t xml:space="preserve"> recorded as having been used in the </w:t>
      </w:r>
      <w:proofErr w:type="spellStart"/>
      <w:r w:rsidRPr="00F43D56">
        <w:rPr>
          <w:rFonts w:ascii="Arial" w:hAnsi="Arial" w:cs="Arial"/>
        </w:rPr>
        <w:t>MacLab</w:t>
      </w:r>
      <w:proofErr w:type="spellEnd"/>
      <w:r w:rsidRPr="00F43D56">
        <w:rPr>
          <w:rFonts w:ascii="Arial" w:hAnsi="Arial" w:cs="Arial"/>
        </w:rPr>
        <w:t xml:space="preserve"> system had not been billed within CareConnect.  There were also 11 cases in which items were billed in CareConnect, but were not recorded in the </w:t>
      </w:r>
      <w:proofErr w:type="spellStart"/>
      <w:r w:rsidRPr="00F43D56">
        <w:rPr>
          <w:rFonts w:ascii="Arial" w:hAnsi="Arial" w:cs="Arial"/>
        </w:rPr>
        <w:t>MacLab</w:t>
      </w:r>
      <w:proofErr w:type="spellEnd"/>
      <w:r w:rsidRPr="00F43D56">
        <w:rPr>
          <w:rFonts w:ascii="Arial" w:hAnsi="Arial" w:cs="Arial"/>
        </w:rPr>
        <w:t xml:space="preserve"> system as having been used.  A total of </w:t>
      </w:r>
      <w:r>
        <w:rPr>
          <w:rFonts w:ascii="Arial" w:hAnsi="Arial" w:cs="Arial"/>
        </w:rPr>
        <w:t>38</w:t>
      </w:r>
      <w:r w:rsidRPr="00F43D56">
        <w:rPr>
          <w:rFonts w:ascii="Arial" w:hAnsi="Arial" w:cs="Arial"/>
        </w:rPr>
        <w:t xml:space="preserve"> discrepancies were noted, of approximately 475 line items in the sample population. </w:t>
      </w:r>
    </w:p>
    <w:p w:rsidR="004D42CA" w:rsidRPr="00F43D56" w:rsidRDefault="004D42CA" w:rsidP="004D42CA">
      <w:pPr>
        <w:tabs>
          <w:tab w:val="left" w:pos="3960"/>
        </w:tabs>
        <w:spacing w:line="276" w:lineRule="auto"/>
        <w:jc w:val="both"/>
        <w:rPr>
          <w:rFonts w:ascii="Arial" w:hAnsi="Arial" w:cs="Arial"/>
        </w:rPr>
      </w:pPr>
      <w:r w:rsidRPr="00F43D56">
        <w:rPr>
          <w:rFonts w:ascii="Arial" w:hAnsi="Arial" w:cs="Arial"/>
        </w:rPr>
        <w:t xml:space="preserve"> </w:t>
      </w:r>
      <w:r w:rsidRPr="00F43D56">
        <w:rPr>
          <w:rFonts w:ascii="Arial" w:hAnsi="Arial" w:cs="Arial"/>
          <w:highlight w:val="yellow"/>
        </w:rPr>
        <w:t xml:space="preserve"> </w:t>
      </w:r>
    </w:p>
    <w:p w:rsidR="004D42CA" w:rsidRPr="00F43D56" w:rsidRDefault="004D42CA" w:rsidP="000C4D23">
      <w:pPr>
        <w:numPr>
          <w:ilvl w:val="0"/>
          <w:numId w:val="1"/>
        </w:numPr>
        <w:spacing w:line="276" w:lineRule="auto"/>
        <w:ind w:left="540" w:hanging="540"/>
        <w:contextualSpacing/>
        <w:jc w:val="both"/>
        <w:rPr>
          <w:rFonts w:ascii="Arial" w:hAnsi="Arial" w:cs="Arial"/>
        </w:rPr>
      </w:pPr>
      <w:r w:rsidRPr="00F43D56">
        <w:rPr>
          <w:rFonts w:ascii="Arial" w:hAnsi="Arial" w:cs="Arial"/>
        </w:rPr>
        <w:lastRenderedPageBreak/>
        <w:t xml:space="preserve">Cath Lab cases at RRUCLA are reviewed on a daily basis to ensure that supplies recorded in </w:t>
      </w:r>
      <w:proofErr w:type="spellStart"/>
      <w:r w:rsidRPr="00F43D56">
        <w:rPr>
          <w:rFonts w:ascii="Arial" w:hAnsi="Arial" w:cs="Arial"/>
        </w:rPr>
        <w:t>MacLab</w:t>
      </w:r>
      <w:proofErr w:type="spellEnd"/>
      <w:r w:rsidRPr="00F43D56">
        <w:rPr>
          <w:rFonts w:ascii="Arial" w:hAnsi="Arial" w:cs="Arial"/>
        </w:rPr>
        <w:t xml:space="preserve"> match the supplies recorded in CareConnect.  However, usage of supplies in the CCU has not been reconciled because the CCU does not use the </w:t>
      </w:r>
      <w:proofErr w:type="spellStart"/>
      <w:r w:rsidRPr="00F43D56">
        <w:rPr>
          <w:rFonts w:ascii="Arial" w:hAnsi="Arial" w:cs="Arial"/>
        </w:rPr>
        <w:t>MacLab</w:t>
      </w:r>
      <w:proofErr w:type="spellEnd"/>
      <w:r w:rsidRPr="00F43D56">
        <w:rPr>
          <w:rFonts w:ascii="Arial" w:hAnsi="Arial" w:cs="Arial"/>
        </w:rPr>
        <w:t xml:space="preserve"> system.  Testing of four CCU cases indicated that basic supply charges were posted, but further validation could not be performed.</w:t>
      </w:r>
    </w:p>
    <w:p w:rsidR="004D42CA" w:rsidRPr="00F43D56" w:rsidRDefault="004D42CA" w:rsidP="004D42CA">
      <w:pPr>
        <w:tabs>
          <w:tab w:val="left" w:pos="3960"/>
        </w:tabs>
        <w:spacing w:line="276" w:lineRule="auto"/>
        <w:jc w:val="both"/>
        <w:rPr>
          <w:rFonts w:ascii="Arial" w:hAnsi="Arial" w:cs="Arial"/>
        </w:rPr>
      </w:pPr>
    </w:p>
    <w:p w:rsidR="004D42CA" w:rsidRPr="00F43D56" w:rsidRDefault="004D42CA" w:rsidP="004D42CA">
      <w:pPr>
        <w:spacing w:line="276" w:lineRule="auto"/>
        <w:jc w:val="both"/>
        <w:rPr>
          <w:rFonts w:ascii="Arial" w:hAnsi="Arial" w:cs="Arial"/>
          <w:i/>
        </w:rPr>
      </w:pPr>
      <w:r w:rsidRPr="00F43D56">
        <w:rPr>
          <w:rFonts w:ascii="Arial" w:hAnsi="Arial" w:cs="Arial"/>
          <w:i/>
        </w:rPr>
        <w:t>Charge Description Master</w:t>
      </w:r>
    </w:p>
    <w:p w:rsidR="004D42CA" w:rsidRPr="00F43D56" w:rsidRDefault="004D42CA" w:rsidP="000C4D23">
      <w:pPr>
        <w:numPr>
          <w:ilvl w:val="0"/>
          <w:numId w:val="1"/>
        </w:numPr>
        <w:spacing w:line="276" w:lineRule="auto"/>
        <w:ind w:left="540" w:hanging="540"/>
        <w:contextualSpacing/>
        <w:jc w:val="both"/>
        <w:rPr>
          <w:rFonts w:ascii="Arial" w:hAnsi="Arial" w:cs="Arial"/>
        </w:rPr>
      </w:pPr>
      <w:r w:rsidRPr="00F43D56">
        <w:rPr>
          <w:rFonts w:ascii="Arial" w:hAnsi="Arial" w:cs="Arial"/>
        </w:rPr>
        <w:t>Adequate mechanisms are in place to ensure that billing codes are correctly mapped.  No issues were noted.</w:t>
      </w:r>
    </w:p>
    <w:p w:rsidR="004D42CA" w:rsidRPr="00F43D56" w:rsidRDefault="004D42CA" w:rsidP="004D42CA">
      <w:pPr>
        <w:widowControl w:val="0"/>
        <w:tabs>
          <w:tab w:val="left" w:pos="3960"/>
        </w:tabs>
        <w:spacing w:line="276" w:lineRule="auto"/>
        <w:jc w:val="both"/>
        <w:rPr>
          <w:rFonts w:ascii="Arial" w:hAnsi="Arial" w:cs="Arial"/>
        </w:rPr>
      </w:pPr>
    </w:p>
    <w:p w:rsidR="004D42CA" w:rsidRPr="00F43D56" w:rsidRDefault="004D42CA" w:rsidP="004D42CA">
      <w:pPr>
        <w:spacing w:line="276" w:lineRule="auto"/>
        <w:jc w:val="both"/>
        <w:rPr>
          <w:rFonts w:ascii="Arial" w:hAnsi="Arial" w:cs="Arial"/>
        </w:rPr>
      </w:pPr>
      <w:r w:rsidRPr="00F43D56">
        <w:rPr>
          <w:rFonts w:ascii="Arial" w:hAnsi="Arial" w:cs="Arial"/>
        </w:rPr>
        <w:t xml:space="preserve">The audit results and recommendations are detailed in the following section of the audit report. </w:t>
      </w:r>
    </w:p>
    <w:p w:rsidR="004D42CA" w:rsidRPr="00F43D56" w:rsidRDefault="004D42CA" w:rsidP="004D42CA">
      <w:pPr>
        <w:spacing w:line="360" w:lineRule="auto"/>
        <w:rPr>
          <w:rFonts w:ascii="Arial" w:eastAsia="Calibri" w:hAnsi="Arial"/>
          <w:u w:val="single"/>
        </w:rPr>
        <w:sectPr w:rsidR="004D42CA" w:rsidRPr="00F43D56" w:rsidSect="000C4D23">
          <w:pgSz w:w="15840" w:h="12240" w:orient="landscape" w:code="1"/>
          <w:pgMar w:top="1440" w:right="1440" w:bottom="864" w:left="1440" w:header="720" w:footer="720" w:gutter="0"/>
          <w:pgNumType w:start="1"/>
          <w:cols w:space="720"/>
          <w:titlePg/>
          <w:docGrid w:linePitch="326"/>
        </w:sectPr>
      </w:pPr>
    </w:p>
    <w:p w:rsidR="004D42CA" w:rsidRPr="00F43D56" w:rsidRDefault="004D42CA" w:rsidP="004D42CA">
      <w:pPr>
        <w:tabs>
          <w:tab w:val="left" w:pos="3960"/>
        </w:tabs>
        <w:spacing w:line="360" w:lineRule="auto"/>
        <w:ind w:left="-900"/>
        <w:jc w:val="both"/>
        <w:rPr>
          <w:rFonts w:ascii="Arial" w:eastAsia="Calibri" w:hAnsi="Arial"/>
          <w:u w:val="single"/>
        </w:rPr>
      </w:pPr>
      <w:r w:rsidRPr="00F43D56">
        <w:rPr>
          <w:rFonts w:ascii="Arial" w:eastAsia="Calibri" w:hAnsi="Arial"/>
          <w:u w:val="single"/>
        </w:rPr>
        <w:lastRenderedPageBreak/>
        <w:t>Audit Results and Recommendations</w:t>
      </w:r>
    </w:p>
    <w:tbl>
      <w:tblPr>
        <w:tblW w:w="14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754"/>
        <w:gridCol w:w="4965"/>
        <w:gridCol w:w="4754"/>
      </w:tblGrid>
      <w:tr w:rsidR="004D42CA" w:rsidRPr="00F43D56" w:rsidTr="000C4D23">
        <w:trPr>
          <w:trHeight w:val="720"/>
          <w:tblHeader/>
          <w:jc w:val="center"/>
        </w:trPr>
        <w:tc>
          <w:tcPr>
            <w:tcW w:w="468"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4D42CA" w:rsidRPr="00F43D56" w:rsidRDefault="004D42CA" w:rsidP="000C4D23">
            <w:pPr>
              <w:jc w:val="center"/>
              <w:rPr>
                <w:rFonts w:ascii="Arial" w:eastAsia="Calibri" w:hAnsi="Arial" w:cs="Arial"/>
                <w:b/>
                <w:sz w:val="20"/>
                <w:szCs w:val="20"/>
              </w:rPr>
            </w:pPr>
            <w:r w:rsidRPr="00F43D56">
              <w:rPr>
                <w:rFonts w:ascii="Arial" w:eastAsia="Calibri" w:hAnsi="Arial" w:cs="Arial"/>
                <w:b/>
                <w:sz w:val="20"/>
                <w:szCs w:val="20"/>
              </w:rPr>
              <w:t>#</w:t>
            </w:r>
          </w:p>
        </w:tc>
        <w:tc>
          <w:tcPr>
            <w:tcW w:w="4754"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4D42CA" w:rsidRPr="00F43D56" w:rsidRDefault="004D42CA" w:rsidP="000C4D23">
            <w:pPr>
              <w:jc w:val="center"/>
              <w:rPr>
                <w:rFonts w:ascii="Arial" w:eastAsia="Calibri" w:hAnsi="Arial" w:cs="Arial"/>
                <w:b/>
                <w:sz w:val="20"/>
                <w:szCs w:val="20"/>
              </w:rPr>
            </w:pPr>
            <w:r w:rsidRPr="00F43D56">
              <w:rPr>
                <w:rFonts w:ascii="Arial" w:eastAsia="Calibri" w:hAnsi="Arial" w:cs="Arial"/>
                <w:b/>
                <w:sz w:val="20"/>
                <w:szCs w:val="20"/>
              </w:rPr>
              <w:t xml:space="preserve">FINDING </w:t>
            </w:r>
          </w:p>
        </w:tc>
        <w:tc>
          <w:tcPr>
            <w:tcW w:w="4965"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4D42CA" w:rsidRPr="00F43D56" w:rsidRDefault="004D42CA" w:rsidP="000C4D23">
            <w:pPr>
              <w:jc w:val="center"/>
              <w:rPr>
                <w:rFonts w:ascii="Arial" w:eastAsia="Calibri" w:hAnsi="Arial" w:cs="Arial"/>
                <w:b/>
                <w:sz w:val="20"/>
                <w:szCs w:val="20"/>
              </w:rPr>
            </w:pPr>
            <w:r w:rsidRPr="00F43D56">
              <w:rPr>
                <w:rFonts w:ascii="Arial" w:eastAsia="Calibri" w:hAnsi="Arial" w:cs="Arial"/>
                <w:b/>
                <w:sz w:val="20"/>
                <w:szCs w:val="20"/>
              </w:rPr>
              <w:t>RECOMMENDATION</w:t>
            </w:r>
          </w:p>
        </w:tc>
        <w:tc>
          <w:tcPr>
            <w:tcW w:w="4754"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4D42CA" w:rsidRPr="00F43D56" w:rsidRDefault="004D42CA" w:rsidP="000C4D23">
            <w:pPr>
              <w:jc w:val="center"/>
              <w:rPr>
                <w:rFonts w:ascii="Arial" w:eastAsia="Calibri" w:hAnsi="Arial" w:cs="Arial"/>
                <w:b/>
                <w:sz w:val="20"/>
                <w:szCs w:val="20"/>
              </w:rPr>
            </w:pPr>
            <w:r w:rsidRPr="00F43D56">
              <w:rPr>
                <w:rFonts w:ascii="Arial" w:eastAsia="Calibri" w:hAnsi="Arial" w:cs="Arial"/>
                <w:b/>
                <w:sz w:val="20"/>
                <w:szCs w:val="20"/>
              </w:rPr>
              <w:t>MANAGEMENT’S RESPONSE</w:t>
            </w:r>
          </w:p>
        </w:tc>
      </w:tr>
      <w:tr w:rsidR="004D42CA" w:rsidRPr="00F43D56" w:rsidTr="000C4D23">
        <w:trPr>
          <w:trHeight w:val="360"/>
          <w:jc w:val="center"/>
        </w:trPr>
        <w:tc>
          <w:tcPr>
            <w:tcW w:w="14941"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rsidR="004D42CA" w:rsidRPr="00F43D56" w:rsidRDefault="004D42CA" w:rsidP="000C4D23">
            <w:pPr>
              <w:rPr>
                <w:rFonts w:ascii="Arial" w:eastAsia="Calibri" w:hAnsi="Arial" w:cs="Arial"/>
                <w:b/>
                <w:sz w:val="20"/>
                <w:szCs w:val="20"/>
              </w:rPr>
            </w:pPr>
            <w:r w:rsidRPr="00F43D56">
              <w:rPr>
                <w:rFonts w:ascii="Arial" w:eastAsia="Calibri" w:hAnsi="Arial" w:cs="Arial"/>
                <w:b/>
                <w:sz w:val="20"/>
                <w:szCs w:val="20"/>
              </w:rPr>
              <w:t>CHARGE ACCURACY</w:t>
            </w:r>
          </w:p>
        </w:tc>
      </w:tr>
      <w:tr w:rsidR="004D42CA" w:rsidRPr="00F43D56" w:rsidTr="000C4D23">
        <w:trPr>
          <w:trHeight w:val="360"/>
          <w:jc w:val="center"/>
        </w:trPr>
        <w:tc>
          <w:tcPr>
            <w:tcW w:w="149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D42CA" w:rsidRDefault="004D42CA" w:rsidP="000C4D23">
            <w:pPr>
              <w:rPr>
                <w:rFonts w:ascii="Arial" w:eastAsia="Calibri" w:hAnsi="Arial" w:cs="Arial"/>
                <w:sz w:val="20"/>
                <w:szCs w:val="20"/>
              </w:rPr>
            </w:pPr>
            <w:r w:rsidRPr="00F43D56">
              <w:rPr>
                <w:rFonts w:ascii="Arial" w:eastAsia="Calibri" w:hAnsi="Arial" w:cs="Arial"/>
                <w:sz w:val="20"/>
                <w:szCs w:val="20"/>
              </w:rPr>
              <w:t>A sample of 30 cases was selected from Cath Lab procedures performed during October through November 2016. Eighteen cases were selected from those performed in the Cath Labs at RRUCLA, and eight cases were selected for SMUCLA.  In addition, four cases were selected from procedures performed in the CCU.  Cases were reviewed for accuracy, to determine that supplies were correctly billed and that technical fees for lab ho</w:t>
            </w:r>
            <w:r>
              <w:rPr>
                <w:rFonts w:ascii="Arial" w:eastAsia="Calibri" w:hAnsi="Arial" w:cs="Arial"/>
                <w:sz w:val="20"/>
                <w:szCs w:val="20"/>
              </w:rPr>
              <w:t>urs were adequately supported.</w:t>
            </w:r>
          </w:p>
          <w:p w:rsidR="004D42CA" w:rsidRDefault="004D42CA" w:rsidP="000C4D23">
            <w:pPr>
              <w:rPr>
                <w:rFonts w:ascii="Arial" w:eastAsia="Calibri" w:hAnsi="Arial" w:cs="Arial"/>
                <w:sz w:val="20"/>
                <w:szCs w:val="20"/>
              </w:rPr>
            </w:pPr>
          </w:p>
          <w:p w:rsidR="004D42CA" w:rsidRDefault="004D42CA" w:rsidP="000C4D23">
            <w:pPr>
              <w:rPr>
                <w:rFonts w:ascii="Arial" w:eastAsia="Calibri" w:hAnsi="Arial" w:cs="Arial"/>
                <w:sz w:val="20"/>
                <w:szCs w:val="20"/>
              </w:rPr>
            </w:pPr>
            <w:r>
              <w:rPr>
                <w:rFonts w:ascii="Arial" w:eastAsia="Calibri" w:hAnsi="Arial" w:cs="Arial"/>
                <w:sz w:val="20"/>
                <w:szCs w:val="20"/>
              </w:rPr>
              <w:t xml:space="preserve">Audit testing indicated that lab hours were accurately billed. Some supply charge discrepancies were identified, as described below. </w:t>
            </w:r>
          </w:p>
          <w:p w:rsidR="004D42CA" w:rsidRPr="00F43D56" w:rsidRDefault="004D42CA" w:rsidP="000C4D23">
            <w:pPr>
              <w:rPr>
                <w:rFonts w:ascii="Arial" w:hAnsi="Arial" w:cs="Arial"/>
                <w:sz w:val="20"/>
                <w:szCs w:val="20"/>
              </w:rPr>
            </w:pPr>
          </w:p>
        </w:tc>
      </w:tr>
      <w:tr w:rsidR="004D42CA" w:rsidRPr="00F43D56" w:rsidTr="000C4D23">
        <w:trPr>
          <w:jc w:val="center"/>
        </w:trPr>
        <w:tc>
          <w:tcPr>
            <w:tcW w:w="468" w:type="dxa"/>
            <w:tcBorders>
              <w:top w:val="single" w:sz="4" w:space="0" w:color="auto"/>
              <w:left w:val="single" w:sz="4" w:space="0" w:color="auto"/>
              <w:bottom w:val="single" w:sz="4" w:space="0" w:color="auto"/>
              <w:right w:val="single" w:sz="4" w:space="0" w:color="auto"/>
            </w:tcBorders>
            <w:hideMark/>
          </w:tcPr>
          <w:p w:rsidR="004D42CA" w:rsidRPr="00F43D56" w:rsidRDefault="004D42CA" w:rsidP="000C4D23">
            <w:pPr>
              <w:spacing w:after="200"/>
              <w:jc w:val="center"/>
              <w:rPr>
                <w:rFonts w:ascii="Arial" w:eastAsia="Calibri" w:hAnsi="Arial" w:cs="Arial"/>
                <w:sz w:val="20"/>
                <w:szCs w:val="20"/>
              </w:rPr>
            </w:pPr>
            <w:r w:rsidRPr="00F43D56">
              <w:rPr>
                <w:rFonts w:ascii="Arial" w:eastAsia="Calibri" w:hAnsi="Arial" w:cs="Arial"/>
                <w:sz w:val="20"/>
                <w:szCs w:val="20"/>
              </w:rPr>
              <w:t>1</w:t>
            </w:r>
          </w:p>
        </w:tc>
        <w:tc>
          <w:tcPr>
            <w:tcW w:w="4754" w:type="dxa"/>
            <w:tcBorders>
              <w:top w:val="single" w:sz="4" w:space="0" w:color="auto"/>
              <w:left w:val="single" w:sz="4" w:space="0" w:color="auto"/>
              <w:bottom w:val="single" w:sz="4" w:space="0" w:color="auto"/>
              <w:right w:val="single" w:sz="4" w:space="0" w:color="auto"/>
            </w:tcBorders>
          </w:tcPr>
          <w:p w:rsidR="004D42CA" w:rsidRPr="00F43D56" w:rsidRDefault="004D42CA" w:rsidP="000C4D23">
            <w:pPr>
              <w:rPr>
                <w:rFonts w:ascii="Arial" w:hAnsi="Arial" w:cs="Arial"/>
                <w:color w:val="000000"/>
                <w:sz w:val="20"/>
                <w:szCs w:val="20"/>
                <w:shd w:val="clear" w:color="auto" w:fill="FFFFFF"/>
              </w:rPr>
            </w:pPr>
            <w:r w:rsidRPr="00F43D56">
              <w:rPr>
                <w:rFonts w:ascii="Arial" w:hAnsi="Arial" w:cs="Arial"/>
                <w:color w:val="000000"/>
                <w:sz w:val="20"/>
                <w:szCs w:val="20"/>
                <w:u w:val="single"/>
                <w:shd w:val="clear" w:color="auto" w:fill="FFFFFF"/>
              </w:rPr>
              <w:t>Billing Discrepancies</w:t>
            </w:r>
            <w:r w:rsidRPr="00F43D56">
              <w:rPr>
                <w:rFonts w:ascii="Arial" w:hAnsi="Arial" w:cs="Arial"/>
                <w:color w:val="000000"/>
                <w:sz w:val="20"/>
                <w:szCs w:val="20"/>
                <w:shd w:val="clear" w:color="auto" w:fill="FFFFFF"/>
              </w:rPr>
              <w:t xml:space="preserve">: </w:t>
            </w:r>
          </w:p>
          <w:p w:rsidR="004D42CA" w:rsidRPr="00F43D56" w:rsidRDefault="004D42CA" w:rsidP="000C4D23">
            <w:pPr>
              <w:rPr>
                <w:rFonts w:ascii="Arial" w:hAnsi="Arial" w:cs="Arial"/>
                <w:color w:val="000000"/>
                <w:sz w:val="20"/>
                <w:szCs w:val="20"/>
                <w:shd w:val="clear" w:color="auto" w:fill="FFFFFF"/>
              </w:rPr>
            </w:pPr>
          </w:p>
          <w:p w:rsidR="004D42CA" w:rsidRPr="00F43D56" w:rsidRDefault="004D42CA" w:rsidP="000C4D23">
            <w:pPr>
              <w:rPr>
                <w:rFonts w:ascii="Arial" w:hAnsi="Arial" w:cs="Arial"/>
                <w:color w:val="000000"/>
                <w:sz w:val="20"/>
                <w:szCs w:val="20"/>
                <w:shd w:val="clear" w:color="auto" w:fill="FFFFFF"/>
              </w:rPr>
            </w:pPr>
            <w:r w:rsidRPr="00F43D56">
              <w:rPr>
                <w:rFonts w:ascii="Arial" w:hAnsi="Arial" w:cs="Arial"/>
                <w:color w:val="000000"/>
                <w:sz w:val="20"/>
                <w:szCs w:val="20"/>
                <w:shd w:val="clear" w:color="auto" w:fill="FFFFFF"/>
              </w:rPr>
              <w:t xml:space="preserve">For the 26 cases sampled from those performed in the Cath Labs, documentation generally supported the charges billed.  However, there were </w:t>
            </w:r>
            <w:r>
              <w:rPr>
                <w:rFonts w:ascii="Arial" w:hAnsi="Arial" w:cs="Arial"/>
                <w:color w:val="000000"/>
                <w:sz w:val="20"/>
                <w:szCs w:val="20"/>
                <w:shd w:val="clear" w:color="auto" w:fill="FFFFFF"/>
              </w:rPr>
              <w:t>11</w:t>
            </w:r>
            <w:r w:rsidRPr="00F43D56">
              <w:rPr>
                <w:rFonts w:ascii="Arial" w:hAnsi="Arial" w:cs="Arial"/>
                <w:color w:val="000000"/>
                <w:sz w:val="20"/>
                <w:szCs w:val="20"/>
                <w:shd w:val="clear" w:color="auto" w:fill="FFFFFF"/>
              </w:rPr>
              <w:t xml:space="preserve"> individual cases, all performed in the RRUCLA Cath Labs, in which some billing discrepancies were noted. </w:t>
            </w:r>
            <w:bookmarkStart w:id="1" w:name="TMB319958212"/>
            <w:bookmarkEnd w:id="1"/>
          </w:p>
          <w:p w:rsidR="004D42CA" w:rsidRPr="00F43D56" w:rsidRDefault="004D42CA" w:rsidP="000C4D23">
            <w:pPr>
              <w:rPr>
                <w:rFonts w:ascii="Arial" w:hAnsi="Arial" w:cs="Arial"/>
                <w:color w:val="000000"/>
                <w:sz w:val="20"/>
                <w:szCs w:val="20"/>
                <w:shd w:val="clear" w:color="auto" w:fill="FFFFFF"/>
              </w:rPr>
            </w:pPr>
          </w:p>
          <w:p w:rsidR="004D42CA" w:rsidRPr="00F43D56" w:rsidRDefault="004D42CA" w:rsidP="000C4D23">
            <w:pPr>
              <w:numPr>
                <w:ilvl w:val="0"/>
                <w:numId w:val="2"/>
              </w:numPr>
              <w:contextualSpacing/>
              <w:rPr>
                <w:rFonts w:ascii="Arial" w:hAnsi="Arial" w:cs="Arial"/>
                <w:color w:val="000000"/>
                <w:sz w:val="20"/>
                <w:szCs w:val="20"/>
                <w:shd w:val="clear" w:color="auto" w:fill="FFFFFF"/>
              </w:rPr>
            </w:pPr>
            <w:r w:rsidRPr="00F43D56">
              <w:rPr>
                <w:rFonts w:ascii="Arial" w:hAnsi="Arial" w:cs="Arial"/>
                <w:color w:val="000000"/>
                <w:sz w:val="20"/>
                <w:szCs w:val="20"/>
                <w:shd w:val="clear" w:color="auto" w:fill="FFFFFF"/>
              </w:rPr>
              <w:t>For</w:t>
            </w:r>
            <w:r>
              <w:rPr>
                <w:rFonts w:ascii="Arial" w:hAnsi="Arial" w:cs="Arial"/>
                <w:color w:val="000000"/>
                <w:sz w:val="20"/>
                <w:szCs w:val="20"/>
                <w:shd w:val="clear" w:color="auto" w:fill="FFFFFF"/>
              </w:rPr>
              <w:t xml:space="preserve"> one</w:t>
            </w:r>
            <w:r w:rsidRPr="00F43D56">
              <w:rPr>
                <w:rFonts w:ascii="Arial" w:hAnsi="Arial" w:cs="Arial"/>
                <w:color w:val="000000"/>
                <w:sz w:val="20"/>
                <w:szCs w:val="20"/>
                <w:shd w:val="clear" w:color="auto" w:fill="FFFFFF"/>
              </w:rPr>
              <w:t xml:space="preserve"> of these cases, there </w:t>
            </w:r>
            <w:r>
              <w:rPr>
                <w:rFonts w:ascii="Arial" w:hAnsi="Arial" w:cs="Arial"/>
                <w:color w:val="000000"/>
                <w:sz w:val="20"/>
                <w:szCs w:val="20"/>
                <w:shd w:val="clear" w:color="auto" w:fill="FFFFFF"/>
              </w:rPr>
              <w:t>was an instance</w:t>
            </w:r>
            <w:r w:rsidRPr="00F43D56">
              <w:rPr>
                <w:rFonts w:ascii="Arial" w:hAnsi="Arial" w:cs="Arial"/>
                <w:color w:val="000000"/>
                <w:sz w:val="20"/>
                <w:szCs w:val="20"/>
                <w:shd w:val="clear" w:color="auto" w:fill="FFFFFF"/>
              </w:rPr>
              <w:t xml:space="preserve"> in which a supply item was recorded as having been used in the </w:t>
            </w:r>
            <w:proofErr w:type="spellStart"/>
            <w:r w:rsidRPr="00F43D56">
              <w:rPr>
                <w:rFonts w:ascii="Arial" w:hAnsi="Arial" w:cs="Arial"/>
                <w:color w:val="000000"/>
                <w:sz w:val="20"/>
                <w:szCs w:val="20"/>
                <w:shd w:val="clear" w:color="auto" w:fill="FFFFFF"/>
              </w:rPr>
              <w:t>MacLab</w:t>
            </w:r>
            <w:proofErr w:type="spellEnd"/>
            <w:r w:rsidRPr="00F43D56">
              <w:rPr>
                <w:rFonts w:ascii="Arial" w:hAnsi="Arial" w:cs="Arial"/>
                <w:color w:val="000000"/>
                <w:sz w:val="20"/>
                <w:szCs w:val="20"/>
                <w:shd w:val="clear" w:color="auto" w:fill="FFFFFF"/>
              </w:rPr>
              <w:t xml:space="preserve"> system but was not billed within CareConnect.</w:t>
            </w:r>
            <w:r>
              <w:rPr>
                <w:rFonts w:ascii="Arial" w:hAnsi="Arial" w:cs="Arial"/>
                <w:color w:val="000000"/>
                <w:sz w:val="20"/>
                <w:szCs w:val="20"/>
                <w:shd w:val="clear" w:color="auto" w:fill="FFFFFF"/>
              </w:rPr>
              <w:t xml:space="preserve">  (Case #</w:t>
            </w:r>
            <w:r w:rsidRPr="00F43D56">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12)</w:t>
            </w:r>
          </w:p>
          <w:p w:rsidR="004D42CA" w:rsidRPr="00F43D56" w:rsidRDefault="004D42CA" w:rsidP="000C4D23">
            <w:pPr>
              <w:rPr>
                <w:rFonts w:ascii="Arial" w:hAnsi="Arial" w:cs="Arial"/>
                <w:color w:val="000000"/>
                <w:sz w:val="20"/>
                <w:szCs w:val="20"/>
                <w:shd w:val="clear" w:color="auto" w:fill="FFFFFF"/>
              </w:rPr>
            </w:pPr>
          </w:p>
          <w:p w:rsidR="004D42CA" w:rsidRPr="00F43D56" w:rsidRDefault="004D42CA" w:rsidP="000C4D23">
            <w:pPr>
              <w:numPr>
                <w:ilvl w:val="0"/>
                <w:numId w:val="2"/>
              </w:numPr>
              <w:contextualSpacing/>
              <w:rPr>
                <w:rFonts w:ascii="Arial" w:hAnsi="Arial" w:cs="Arial"/>
                <w:color w:val="000000"/>
                <w:sz w:val="20"/>
                <w:szCs w:val="20"/>
                <w:shd w:val="clear" w:color="auto" w:fill="FFFFFF"/>
              </w:rPr>
            </w:pPr>
            <w:r w:rsidRPr="00F43D56">
              <w:rPr>
                <w:rFonts w:ascii="Arial" w:hAnsi="Arial" w:cs="Arial"/>
                <w:color w:val="000000"/>
                <w:sz w:val="20"/>
                <w:szCs w:val="20"/>
                <w:shd w:val="clear" w:color="auto" w:fill="FFFFFF"/>
              </w:rPr>
              <w:t xml:space="preserve">For 11 of these cases, there were 37 instances in which items were billed in CareConnect but were not recorded as having been used in the </w:t>
            </w:r>
            <w:proofErr w:type="spellStart"/>
            <w:r w:rsidRPr="00F43D56">
              <w:rPr>
                <w:rFonts w:ascii="Arial" w:hAnsi="Arial" w:cs="Arial"/>
                <w:color w:val="000000"/>
                <w:sz w:val="20"/>
                <w:szCs w:val="20"/>
                <w:shd w:val="clear" w:color="auto" w:fill="FFFFFF"/>
              </w:rPr>
              <w:t>MacLab</w:t>
            </w:r>
            <w:proofErr w:type="spellEnd"/>
            <w:r w:rsidRPr="00F43D56">
              <w:rPr>
                <w:rFonts w:ascii="Arial" w:hAnsi="Arial" w:cs="Arial"/>
                <w:color w:val="000000"/>
                <w:sz w:val="20"/>
                <w:szCs w:val="20"/>
                <w:shd w:val="clear" w:color="auto" w:fill="FFFFFF"/>
              </w:rPr>
              <w:t xml:space="preserve"> system.  (Case #’s 2, 3, 6, 7, 8, 9, 10, 12, 14, 16, 22)</w:t>
            </w:r>
          </w:p>
          <w:p w:rsidR="004D42CA" w:rsidRPr="00F43D56" w:rsidRDefault="004D42CA" w:rsidP="000C4D23">
            <w:pPr>
              <w:rPr>
                <w:rFonts w:ascii="Arial" w:hAnsi="Arial" w:cs="Arial"/>
                <w:color w:val="000000"/>
                <w:sz w:val="20"/>
                <w:szCs w:val="20"/>
                <w:shd w:val="clear" w:color="auto" w:fill="FFFFFF"/>
              </w:rPr>
            </w:pPr>
          </w:p>
          <w:p w:rsidR="004D42CA" w:rsidRDefault="004D42CA" w:rsidP="000C4D23">
            <w:pPr>
              <w:rPr>
                <w:rFonts w:ascii="Arial" w:hAnsi="Arial" w:cs="Arial"/>
                <w:color w:val="000000"/>
                <w:sz w:val="20"/>
                <w:szCs w:val="20"/>
                <w:shd w:val="clear" w:color="auto" w:fill="FFFFFF"/>
              </w:rPr>
            </w:pPr>
            <w:r w:rsidRPr="00F43D56">
              <w:rPr>
                <w:rFonts w:ascii="Arial" w:hAnsi="Arial" w:cs="Arial"/>
                <w:color w:val="000000"/>
                <w:sz w:val="20"/>
                <w:szCs w:val="20"/>
                <w:shd w:val="clear" w:color="auto" w:fill="FFFFFF"/>
              </w:rPr>
              <w:t xml:space="preserve">The </w:t>
            </w:r>
            <w:r>
              <w:rPr>
                <w:rFonts w:ascii="Arial" w:hAnsi="Arial" w:cs="Arial"/>
                <w:color w:val="000000"/>
                <w:sz w:val="20"/>
                <w:szCs w:val="20"/>
                <w:shd w:val="clear" w:color="auto" w:fill="FFFFFF"/>
              </w:rPr>
              <w:t>38</w:t>
            </w:r>
            <w:r w:rsidRPr="00F43D56">
              <w:rPr>
                <w:rFonts w:ascii="Arial" w:hAnsi="Arial" w:cs="Arial"/>
                <w:color w:val="000000"/>
                <w:sz w:val="20"/>
                <w:szCs w:val="20"/>
                <w:shd w:val="clear" w:color="auto" w:fill="FFFFFF"/>
              </w:rPr>
              <w:t xml:space="preserve"> discrepancies should be viewed in the context of the approximately 475 line items within the 26 sampled cases.  Details of the billing discrepancies will be provided to management separately. </w:t>
            </w:r>
          </w:p>
          <w:p w:rsidR="004D42CA" w:rsidRPr="00F43D56" w:rsidRDefault="004D42CA" w:rsidP="000C4D23">
            <w:pPr>
              <w:rPr>
                <w:rFonts w:ascii="Arial" w:hAnsi="Arial" w:cs="Arial"/>
                <w:color w:val="000000"/>
                <w:sz w:val="20"/>
                <w:szCs w:val="20"/>
                <w:shd w:val="clear" w:color="auto" w:fill="FFFFFF"/>
              </w:rPr>
            </w:pPr>
          </w:p>
        </w:tc>
        <w:tc>
          <w:tcPr>
            <w:tcW w:w="4965" w:type="dxa"/>
            <w:tcBorders>
              <w:top w:val="single" w:sz="4" w:space="0" w:color="auto"/>
              <w:left w:val="single" w:sz="4" w:space="0" w:color="auto"/>
              <w:bottom w:val="single" w:sz="4" w:space="0" w:color="auto"/>
              <w:right w:val="single" w:sz="4" w:space="0" w:color="auto"/>
            </w:tcBorders>
          </w:tcPr>
          <w:p w:rsidR="004D42CA" w:rsidRPr="00F43D56" w:rsidRDefault="004D42CA" w:rsidP="000C4D23">
            <w:pPr>
              <w:rPr>
                <w:rFonts w:ascii="Arial" w:hAnsi="Arial" w:cs="Arial"/>
                <w:iCs/>
                <w:sz w:val="20"/>
                <w:szCs w:val="20"/>
              </w:rPr>
            </w:pPr>
          </w:p>
          <w:p w:rsidR="004D42CA" w:rsidRPr="00F43D56" w:rsidRDefault="004D42CA" w:rsidP="000C4D23">
            <w:pPr>
              <w:rPr>
                <w:rFonts w:ascii="Arial" w:hAnsi="Arial" w:cs="Arial"/>
                <w:iCs/>
                <w:sz w:val="20"/>
                <w:szCs w:val="20"/>
              </w:rPr>
            </w:pPr>
          </w:p>
          <w:p w:rsidR="004D42CA" w:rsidRPr="00F43D56" w:rsidRDefault="004D42CA" w:rsidP="000C4D23">
            <w:pPr>
              <w:rPr>
                <w:rFonts w:ascii="Arial" w:hAnsi="Arial" w:cs="Arial"/>
                <w:iCs/>
                <w:sz w:val="20"/>
                <w:szCs w:val="20"/>
              </w:rPr>
            </w:pPr>
            <w:r w:rsidRPr="00F43D56">
              <w:rPr>
                <w:rFonts w:ascii="Arial" w:hAnsi="Arial" w:cs="Arial"/>
                <w:sz w:val="20"/>
                <w:szCs w:val="20"/>
              </w:rPr>
              <w:t xml:space="preserve">Cath Lab management and billing staff should continue to regularly review supply items billed to ensure that charges are correct. </w:t>
            </w:r>
          </w:p>
          <w:p w:rsidR="004D42CA" w:rsidRPr="00F43D56" w:rsidRDefault="004D42CA" w:rsidP="000C4D23">
            <w:pPr>
              <w:rPr>
                <w:rFonts w:ascii="Arial" w:hAnsi="Arial" w:cs="Arial"/>
                <w:iCs/>
                <w:sz w:val="20"/>
                <w:szCs w:val="20"/>
              </w:rPr>
            </w:pPr>
          </w:p>
          <w:p w:rsidR="004D42CA" w:rsidRPr="00F43D56" w:rsidRDefault="004D42CA" w:rsidP="000C4D23">
            <w:pPr>
              <w:rPr>
                <w:rFonts w:ascii="Arial" w:hAnsi="Arial" w:cs="Arial"/>
                <w:iCs/>
                <w:sz w:val="20"/>
                <w:szCs w:val="20"/>
              </w:rPr>
            </w:pPr>
            <w:r w:rsidRPr="00F43D56">
              <w:rPr>
                <w:rFonts w:ascii="Arial" w:hAnsi="Arial" w:cs="Arial"/>
                <w:iCs/>
                <w:sz w:val="20"/>
                <w:szCs w:val="20"/>
              </w:rPr>
              <w:t>For the instances identified, management should coordinate with Patient Business Services (PBS) to ensure that the charges are corrected, as warranted.</w:t>
            </w:r>
          </w:p>
          <w:p w:rsidR="004D42CA" w:rsidRPr="00F43D56" w:rsidRDefault="004D42CA" w:rsidP="000C4D23">
            <w:pPr>
              <w:rPr>
                <w:rFonts w:ascii="Arial" w:hAnsi="Arial" w:cs="Arial"/>
                <w:iCs/>
                <w:sz w:val="20"/>
                <w:szCs w:val="20"/>
              </w:rPr>
            </w:pPr>
          </w:p>
        </w:tc>
        <w:tc>
          <w:tcPr>
            <w:tcW w:w="4754" w:type="dxa"/>
            <w:tcBorders>
              <w:top w:val="single" w:sz="4" w:space="0" w:color="auto"/>
              <w:left w:val="single" w:sz="4" w:space="0" w:color="auto"/>
              <w:bottom w:val="single" w:sz="4" w:space="0" w:color="auto"/>
              <w:right w:val="single" w:sz="4" w:space="0" w:color="auto"/>
            </w:tcBorders>
          </w:tcPr>
          <w:p w:rsidR="004D42CA" w:rsidRPr="00F43D56" w:rsidRDefault="004D42CA" w:rsidP="000C4D23">
            <w:pPr>
              <w:spacing w:after="200"/>
              <w:rPr>
                <w:rFonts w:ascii="Arial" w:eastAsia="Calibri" w:hAnsi="Arial" w:cs="Arial"/>
                <w:sz w:val="20"/>
                <w:szCs w:val="20"/>
              </w:rPr>
            </w:pPr>
          </w:p>
          <w:p w:rsidR="004D42CA" w:rsidRDefault="004D42CA" w:rsidP="000C4D23">
            <w:pPr>
              <w:spacing w:after="200"/>
              <w:rPr>
                <w:rFonts w:ascii="Arial" w:eastAsia="Calibri" w:hAnsi="Arial" w:cs="Arial"/>
                <w:sz w:val="20"/>
                <w:szCs w:val="20"/>
              </w:rPr>
            </w:pPr>
            <w:r>
              <w:rPr>
                <w:rFonts w:ascii="Arial" w:eastAsia="Calibri" w:hAnsi="Arial" w:cs="Arial"/>
                <w:sz w:val="20"/>
                <w:szCs w:val="20"/>
              </w:rPr>
              <w:t xml:space="preserve">Cath Lab management and billing staff continue to review supply items that are billed in order to ensure that charges are correct. </w:t>
            </w:r>
          </w:p>
          <w:p w:rsidR="004D42CA" w:rsidRDefault="004D42CA" w:rsidP="000C4D23">
            <w:pPr>
              <w:spacing w:after="200"/>
              <w:rPr>
                <w:rFonts w:ascii="Arial" w:eastAsia="Calibri" w:hAnsi="Arial" w:cs="Arial"/>
                <w:sz w:val="20"/>
                <w:szCs w:val="20"/>
              </w:rPr>
            </w:pPr>
            <w:r>
              <w:rPr>
                <w:rFonts w:ascii="Arial" w:eastAsia="Calibri" w:hAnsi="Arial" w:cs="Arial"/>
                <w:sz w:val="20"/>
                <w:szCs w:val="20"/>
              </w:rPr>
              <w:t xml:space="preserve">Cath Lab management has reviewed the 11 cases and worked with Patient Business Services (PBS) to ensure that the charges are corrected, as appropriate. </w:t>
            </w:r>
          </w:p>
          <w:p w:rsidR="004D42CA" w:rsidRPr="00F43D56" w:rsidRDefault="004D42CA" w:rsidP="000C4D23">
            <w:pPr>
              <w:spacing w:after="200"/>
              <w:rPr>
                <w:rFonts w:ascii="Arial" w:eastAsia="Calibri" w:hAnsi="Arial" w:cs="Arial"/>
                <w:sz w:val="20"/>
                <w:szCs w:val="20"/>
              </w:rPr>
            </w:pPr>
          </w:p>
        </w:tc>
      </w:tr>
      <w:tr w:rsidR="004D42CA" w:rsidRPr="00F43D56" w:rsidTr="000C4D23">
        <w:trPr>
          <w:jc w:val="center"/>
        </w:trPr>
        <w:tc>
          <w:tcPr>
            <w:tcW w:w="468" w:type="dxa"/>
            <w:tcBorders>
              <w:top w:val="single" w:sz="4" w:space="0" w:color="auto"/>
              <w:left w:val="single" w:sz="4" w:space="0" w:color="auto"/>
              <w:bottom w:val="single" w:sz="4" w:space="0" w:color="auto"/>
              <w:right w:val="single" w:sz="4" w:space="0" w:color="auto"/>
            </w:tcBorders>
          </w:tcPr>
          <w:p w:rsidR="004D42CA" w:rsidRPr="00F43D56" w:rsidRDefault="004D42CA" w:rsidP="000C4D23">
            <w:pPr>
              <w:spacing w:after="200"/>
              <w:jc w:val="center"/>
              <w:rPr>
                <w:rFonts w:ascii="Arial" w:eastAsia="Calibri" w:hAnsi="Arial" w:cs="Arial"/>
                <w:sz w:val="20"/>
                <w:szCs w:val="20"/>
              </w:rPr>
            </w:pPr>
            <w:r>
              <w:rPr>
                <w:rFonts w:ascii="Arial" w:eastAsia="Calibri" w:hAnsi="Arial" w:cs="Arial"/>
                <w:sz w:val="20"/>
                <w:szCs w:val="20"/>
              </w:rPr>
              <w:lastRenderedPageBreak/>
              <w:t>2</w:t>
            </w:r>
          </w:p>
        </w:tc>
        <w:tc>
          <w:tcPr>
            <w:tcW w:w="4754" w:type="dxa"/>
            <w:tcBorders>
              <w:top w:val="single" w:sz="4" w:space="0" w:color="auto"/>
              <w:left w:val="single" w:sz="4" w:space="0" w:color="auto"/>
              <w:bottom w:val="single" w:sz="4" w:space="0" w:color="auto"/>
              <w:right w:val="single" w:sz="4" w:space="0" w:color="auto"/>
            </w:tcBorders>
          </w:tcPr>
          <w:p w:rsidR="004D42CA" w:rsidRPr="00F43D56" w:rsidRDefault="004D42CA" w:rsidP="000C4D23">
            <w:pPr>
              <w:rPr>
                <w:rFonts w:ascii="Arial" w:hAnsi="Arial" w:cs="Arial"/>
                <w:color w:val="000000"/>
                <w:sz w:val="20"/>
                <w:szCs w:val="20"/>
                <w:shd w:val="clear" w:color="auto" w:fill="FFFFFF"/>
              </w:rPr>
            </w:pPr>
            <w:r w:rsidRPr="00F43D56">
              <w:rPr>
                <w:rFonts w:ascii="Arial" w:hAnsi="Arial" w:cs="Arial"/>
                <w:color w:val="000000"/>
                <w:sz w:val="20"/>
                <w:szCs w:val="20"/>
                <w:u w:val="single"/>
                <w:shd w:val="clear" w:color="auto" w:fill="FFFFFF"/>
              </w:rPr>
              <w:t>Reconciliation of Charges for Coronary Care Unit Cases</w:t>
            </w:r>
            <w:r w:rsidRPr="00F43D56">
              <w:rPr>
                <w:rFonts w:ascii="Arial" w:hAnsi="Arial" w:cs="Arial"/>
                <w:color w:val="000000"/>
                <w:sz w:val="20"/>
                <w:szCs w:val="20"/>
                <w:shd w:val="clear" w:color="auto" w:fill="FFFFFF"/>
              </w:rPr>
              <w:t xml:space="preserve">:  </w:t>
            </w:r>
          </w:p>
          <w:p w:rsidR="004D42CA" w:rsidRPr="00F43D56" w:rsidRDefault="004D42CA" w:rsidP="000C4D23">
            <w:pPr>
              <w:autoSpaceDE w:val="0"/>
              <w:autoSpaceDN w:val="0"/>
              <w:adjustRightInd w:val="0"/>
              <w:rPr>
                <w:rFonts w:ascii="Arial" w:hAnsi="Arial" w:cs="Arial"/>
                <w:sz w:val="20"/>
                <w:szCs w:val="20"/>
              </w:rPr>
            </w:pPr>
          </w:p>
          <w:p w:rsidR="004D42CA" w:rsidRPr="00F43D56" w:rsidRDefault="004D42CA" w:rsidP="000C4D23">
            <w:pPr>
              <w:rPr>
                <w:rFonts w:ascii="Arial" w:hAnsi="Arial" w:cs="Arial"/>
                <w:sz w:val="20"/>
                <w:szCs w:val="20"/>
              </w:rPr>
            </w:pPr>
            <w:r w:rsidRPr="00F43D56">
              <w:rPr>
                <w:rFonts w:ascii="Arial" w:hAnsi="Arial" w:cs="Arial"/>
                <w:sz w:val="20"/>
                <w:szCs w:val="20"/>
              </w:rPr>
              <w:t xml:space="preserve">Testing of four CCU cases indicated that basic supply charges were posted, but further validation could not be performed.  </w:t>
            </w:r>
          </w:p>
          <w:p w:rsidR="004D42CA" w:rsidRPr="00F43D56" w:rsidRDefault="004D42CA" w:rsidP="000C4D23">
            <w:pPr>
              <w:rPr>
                <w:rFonts w:ascii="Arial" w:hAnsi="Arial" w:cs="Arial"/>
                <w:sz w:val="20"/>
                <w:szCs w:val="20"/>
              </w:rPr>
            </w:pPr>
          </w:p>
          <w:p w:rsidR="004D42CA" w:rsidRPr="00F43D56" w:rsidRDefault="004D42CA" w:rsidP="000C4D23">
            <w:pPr>
              <w:rPr>
                <w:rFonts w:ascii="Arial" w:hAnsi="Arial" w:cs="Arial"/>
                <w:sz w:val="20"/>
                <w:szCs w:val="20"/>
              </w:rPr>
            </w:pPr>
            <w:r w:rsidRPr="00F43D56">
              <w:rPr>
                <w:rFonts w:ascii="Arial" w:hAnsi="Arial" w:cs="Arial"/>
                <w:sz w:val="20"/>
                <w:szCs w:val="20"/>
              </w:rPr>
              <w:t xml:space="preserve">Cath Lab cases at RRUCLA are reviewed by Cath Lab billers on a daily basis to ensure that supplies recorded in </w:t>
            </w:r>
            <w:proofErr w:type="spellStart"/>
            <w:r w:rsidRPr="00F43D56">
              <w:rPr>
                <w:rFonts w:ascii="Arial" w:hAnsi="Arial" w:cs="Arial"/>
                <w:sz w:val="20"/>
                <w:szCs w:val="20"/>
              </w:rPr>
              <w:t>MacLab</w:t>
            </w:r>
            <w:proofErr w:type="spellEnd"/>
            <w:r w:rsidRPr="00F43D56">
              <w:rPr>
                <w:rFonts w:ascii="Arial" w:hAnsi="Arial" w:cs="Arial"/>
                <w:sz w:val="20"/>
                <w:szCs w:val="20"/>
              </w:rPr>
              <w:t xml:space="preserve"> match supplies recorded in CareConnect.  </w:t>
            </w:r>
          </w:p>
          <w:p w:rsidR="004D42CA" w:rsidRPr="00F43D56" w:rsidRDefault="004D42CA" w:rsidP="000C4D23">
            <w:pPr>
              <w:autoSpaceDE w:val="0"/>
              <w:autoSpaceDN w:val="0"/>
              <w:adjustRightInd w:val="0"/>
              <w:rPr>
                <w:rFonts w:ascii="Arial" w:hAnsi="Arial" w:cs="Arial"/>
                <w:sz w:val="20"/>
                <w:szCs w:val="20"/>
                <w:u w:val="single"/>
              </w:rPr>
            </w:pPr>
          </w:p>
          <w:p w:rsidR="004D42CA" w:rsidRPr="00F43D56" w:rsidRDefault="004D42CA" w:rsidP="000C4D23">
            <w:pPr>
              <w:autoSpaceDE w:val="0"/>
              <w:autoSpaceDN w:val="0"/>
              <w:adjustRightInd w:val="0"/>
              <w:rPr>
                <w:rFonts w:ascii="Arial" w:hAnsi="Arial" w:cs="Arial"/>
                <w:sz w:val="20"/>
                <w:szCs w:val="20"/>
              </w:rPr>
            </w:pPr>
            <w:r w:rsidRPr="00F43D56">
              <w:rPr>
                <w:rFonts w:ascii="Arial" w:hAnsi="Arial" w:cs="Arial"/>
                <w:sz w:val="20"/>
                <w:szCs w:val="20"/>
              </w:rPr>
              <w:t xml:space="preserve">However, at the time of audit, usage of supplies in the CCU was not being reconciled because the CCU lab does not use the </w:t>
            </w:r>
            <w:proofErr w:type="spellStart"/>
            <w:r w:rsidRPr="00F43D56">
              <w:rPr>
                <w:rFonts w:ascii="Arial" w:hAnsi="Arial" w:cs="Arial"/>
                <w:sz w:val="20"/>
                <w:szCs w:val="20"/>
              </w:rPr>
              <w:t>MacLab</w:t>
            </w:r>
            <w:proofErr w:type="spellEnd"/>
            <w:r w:rsidRPr="00F43D56">
              <w:rPr>
                <w:rFonts w:ascii="Arial" w:hAnsi="Arial" w:cs="Arial"/>
                <w:sz w:val="20"/>
                <w:szCs w:val="20"/>
              </w:rPr>
              <w:t xml:space="preserve"> system. </w:t>
            </w:r>
          </w:p>
          <w:p w:rsidR="004D42CA" w:rsidRPr="00F43D56" w:rsidRDefault="004D42CA" w:rsidP="000C4D23">
            <w:pPr>
              <w:autoSpaceDE w:val="0"/>
              <w:autoSpaceDN w:val="0"/>
              <w:adjustRightInd w:val="0"/>
              <w:rPr>
                <w:rFonts w:ascii="Arial" w:hAnsi="Arial" w:cs="Arial"/>
                <w:color w:val="000000"/>
                <w:sz w:val="20"/>
                <w:szCs w:val="20"/>
                <w:shd w:val="clear" w:color="auto" w:fill="FFFFFF"/>
              </w:rPr>
            </w:pPr>
          </w:p>
        </w:tc>
        <w:tc>
          <w:tcPr>
            <w:tcW w:w="4965" w:type="dxa"/>
            <w:tcBorders>
              <w:top w:val="single" w:sz="4" w:space="0" w:color="auto"/>
              <w:left w:val="single" w:sz="4" w:space="0" w:color="auto"/>
              <w:bottom w:val="single" w:sz="4" w:space="0" w:color="auto"/>
              <w:right w:val="single" w:sz="4" w:space="0" w:color="auto"/>
            </w:tcBorders>
          </w:tcPr>
          <w:p w:rsidR="004D42CA" w:rsidRPr="00F43D56" w:rsidRDefault="004D42CA" w:rsidP="000C4D23">
            <w:pPr>
              <w:autoSpaceDE w:val="0"/>
              <w:autoSpaceDN w:val="0"/>
              <w:adjustRightInd w:val="0"/>
              <w:rPr>
                <w:rFonts w:ascii="Arial" w:hAnsi="Arial" w:cs="Arial"/>
                <w:sz w:val="20"/>
                <w:szCs w:val="20"/>
              </w:rPr>
            </w:pPr>
          </w:p>
          <w:p w:rsidR="004D42CA" w:rsidRPr="00F43D56" w:rsidRDefault="004D42CA" w:rsidP="000C4D23">
            <w:pPr>
              <w:autoSpaceDE w:val="0"/>
              <w:autoSpaceDN w:val="0"/>
              <w:adjustRightInd w:val="0"/>
              <w:rPr>
                <w:rFonts w:ascii="Arial" w:hAnsi="Arial" w:cs="Arial"/>
                <w:sz w:val="20"/>
                <w:szCs w:val="20"/>
              </w:rPr>
            </w:pPr>
          </w:p>
          <w:p w:rsidR="004D42CA" w:rsidRPr="00F43D56" w:rsidRDefault="004D42CA" w:rsidP="000C4D23">
            <w:pPr>
              <w:autoSpaceDE w:val="0"/>
              <w:autoSpaceDN w:val="0"/>
              <w:adjustRightInd w:val="0"/>
              <w:rPr>
                <w:rFonts w:ascii="Arial" w:hAnsi="Arial" w:cs="Arial"/>
                <w:iCs/>
                <w:sz w:val="20"/>
                <w:szCs w:val="20"/>
              </w:rPr>
            </w:pPr>
          </w:p>
          <w:p w:rsidR="004D42CA" w:rsidRPr="00F43D56" w:rsidRDefault="004D42CA" w:rsidP="000C4D23">
            <w:pPr>
              <w:autoSpaceDE w:val="0"/>
              <w:autoSpaceDN w:val="0"/>
              <w:adjustRightInd w:val="0"/>
              <w:rPr>
                <w:rFonts w:ascii="Arial" w:hAnsi="Arial" w:cs="Arial"/>
                <w:sz w:val="20"/>
                <w:szCs w:val="20"/>
              </w:rPr>
            </w:pPr>
            <w:r w:rsidRPr="00F43D56">
              <w:rPr>
                <w:rFonts w:ascii="Arial" w:hAnsi="Arial" w:cs="Arial"/>
                <w:sz w:val="20"/>
                <w:szCs w:val="20"/>
              </w:rPr>
              <w:t xml:space="preserve">To ensure that cases performed in the CCU are documented accurately, the cases should be reviewed to actual supplies used. The CCU has been reminded to enter supply items completely and correctly, and to retain all packaging materials for supply items used in Cath Lab cases. </w:t>
            </w:r>
          </w:p>
          <w:p w:rsidR="004D42CA" w:rsidRPr="00F43D56" w:rsidRDefault="004D42CA" w:rsidP="000C4D23">
            <w:pPr>
              <w:autoSpaceDE w:val="0"/>
              <w:autoSpaceDN w:val="0"/>
              <w:adjustRightInd w:val="0"/>
              <w:rPr>
                <w:rFonts w:ascii="Arial" w:hAnsi="Arial" w:cs="Arial"/>
                <w:sz w:val="20"/>
                <w:szCs w:val="20"/>
              </w:rPr>
            </w:pPr>
          </w:p>
          <w:p w:rsidR="004D42CA" w:rsidRPr="00F43D56" w:rsidRDefault="004D42CA" w:rsidP="000C4D23">
            <w:pPr>
              <w:autoSpaceDE w:val="0"/>
              <w:autoSpaceDN w:val="0"/>
              <w:adjustRightInd w:val="0"/>
              <w:rPr>
                <w:rFonts w:ascii="Arial" w:hAnsi="Arial" w:cs="Arial"/>
                <w:sz w:val="20"/>
                <w:szCs w:val="20"/>
              </w:rPr>
            </w:pPr>
            <w:r w:rsidRPr="00F43D56">
              <w:rPr>
                <w:rFonts w:ascii="Arial" w:hAnsi="Arial" w:cs="Arial"/>
                <w:sz w:val="20"/>
                <w:szCs w:val="20"/>
              </w:rPr>
              <w:t>Cath Lab staff should routinely retrieve the packaging materials from the CCU in order to validate charges processed, as the revenue accrues to the Cath Lab.</w:t>
            </w:r>
          </w:p>
          <w:p w:rsidR="004D42CA" w:rsidRPr="00F43D56" w:rsidRDefault="004D42CA" w:rsidP="000C4D23">
            <w:pPr>
              <w:autoSpaceDE w:val="0"/>
              <w:autoSpaceDN w:val="0"/>
              <w:adjustRightInd w:val="0"/>
              <w:rPr>
                <w:rFonts w:ascii="Arial" w:hAnsi="Arial" w:cs="Arial"/>
                <w:iCs/>
                <w:sz w:val="20"/>
                <w:szCs w:val="20"/>
              </w:rPr>
            </w:pPr>
          </w:p>
        </w:tc>
        <w:tc>
          <w:tcPr>
            <w:tcW w:w="4754" w:type="dxa"/>
            <w:tcBorders>
              <w:top w:val="single" w:sz="4" w:space="0" w:color="auto"/>
              <w:left w:val="single" w:sz="4" w:space="0" w:color="auto"/>
              <w:bottom w:val="single" w:sz="4" w:space="0" w:color="auto"/>
              <w:right w:val="single" w:sz="4" w:space="0" w:color="auto"/>
            </w:tcBorders>
          </w:tcPr>
          <w:p w:rsidR="008E26A9" w:rsidRDefault="008E26A9" w:rsidP="008E26A9">
            <w:pPr>
              <w:spacing w:before="240" w:after="200"/>
              <w:rPr>
                <w:rFonts w:ascii="Arial" w:eastAsia="Calibri" w:hAnsi="Arial" w:cs="Arial"/>
                <w:sz w:val="20"/>
                <w:szCs w:val="20"/>
              </w:rPr>
            </w:pPr>
          </w:p>
          <w:p w:rsidR="004D42CA" w:rsidRPr="00F43D56" w:rsidRDefault="004D42CA" w:rsidP="008E26A9">
            <w:pPr>
              <w:spacing w:before="240" w:after="200"/>
              <w:rPr>
                <w:rFonts w:ascii="Arial" w:eastAsia="Calibri" w:hAnsi="Arial" w:cs="Arial"/>
                <w:sz w:val="20"/>
                <w:szCs w:val="20"/>
              </w:rPr>
            </w:pPr>
            <w:r>
              <w:rPr>
                <w:rFonts w:ascii="Arial" w:eastAsia="Calibri" w:hAnsi="Arial" w:cs="Arial"/>
                <w:sz w:val="20"/>
                <w:szCs w:val="20"/>
              </w:rPr>
              <w:t>Cath Lab billers review the cases performed in the CCU procedure room</w:t>
            </w:r>
            <w:r w:rsidR="008E26A9">
              <w:rPr>
                <w:rFonts w:ascii="Arial" w:eastAsia="Calibri" w:hAnsi="Arial" w:cs="Arial"/>
                <w:sz w:val="20"/>
                <w:szCs w:val="20"/>
              </w:rPr>
              <w:t>,</w:t>
            </w:r>
            <w:r>
              <w:rPr>
                <w:rFonts w:ascii="Arial" w:eastAsia="Calibri" w:hAnsi="Arial" w:cs="Arial"/>
                <w:sz w:val="20"/>
                <w:szCs w:val="20"/>
              </w:rPr>
              <w:t xml:space="preserve"> including the procedure documentation and any retained packaging materials. During the review, they validate and correct, as needed, the charges for the procedure. </w:t>
            </w:r>
          </w:p>
        </w:tc>
      </w:tr>
      <w:tr w:rsidR="004D42CA" w:rsidRPr="00F43D56" w:rsidTr="000C4D23">
        <w:trPr>
          <w:trHeight w:val="360"/>
          <w:jc w:val="center"/>
        </w:trPr>
        <w:tc>
          <w:tcPr>
            <w:tcW w:w="14941"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rsidR="004D42CA" w:rsidRPr="00F43D56" w:rsidRDefault="004D42CA" w:rsidP="000C4D23">
            <w:pPr>
              <w:rPr>
                <w:rFonts w:ascii="Arial" w:eastAsia="Calibri" w:hAnsi="Arial" w:cs="Arial"/>
                <w:b/>
                <w:sz w:val="20"/>
                <w:szCs w:val="20"/>
              </w:rPr>
            </w:pPr>
            <w:r w:rsidRPr="00F43D56">
              <w:rPr>
                <w:rFonts w:ascii="Arial" w:eastAsia="Calibri" w:hAnsi="Arial" w:cs="Arial"/>
                <w:b/>
                <w:sz w:val="20"/>
                <w:szCs w:val="20"/>
              </w:rPr>
              <w:t>CHARGE DESCRIPTION MASTER</w:t>
            </w:r>
          </w:p>
        </w:tc>
      </w:tr>
      <w:tr w:rsidR="004D42CA" w:rsidRPr="00F43D56" w:rsidTr="000C4D23">
        <w:trPr>
          <w:trHeight w:val="360"/>
          <w:jc w:val="center"/>
        </w:trPr>
        <w:tc>
          <w:tcPr>
            <w:tcW w:w="149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D42CA" w:rsidRPr="00F43D56" w:rsidRDefault="004D42CA" w:rsidP="000C4D23">
            <w:pPr>
              <w:rPr>
                <w:rFonts w:ascii="Arial" w:eastAsia="Calibri" w:hAnsi="Arial" w:cs="Arial"/>
                <w:sz w:val="20"/>
                <w:szCs w:val="20"/>
              </w:rPr>
            </w:pPr>
            <w:r w:rsidRPr="00F43D56">
              <w:rPr>
                <w:rFonts w:ascii="Arial" w:eastAsia="Calibri" w:hAnsi="Arial" w:cs="Arial"/>
                <w:sz w:val="20"/>
                <w:szCs w:val="20"/>
              </w:rPr>
              <w:t xml:space="preserve">For the sample of thirty cases, billing codes for supplies billed were reconciled to an EMPAC formulary to ensure that EAP codes were correctly mapped. In addition, discussions were held with personnel to ensure that processes in place for the assignment of EAP codes for new supply items was timely. </w:t>
            </w:r>
          </w:p>
          <w:p w:rsidR="004D42CA" w:rsidRPr="00F43D56" w:rsidRDefault="004D42CA" w:rsidP="000C4D23">
            <w:pPr>
              <w:rPr>
                <w:rFonts w:ascii="Arial" w:eastAsia="Calibri" w:hAnsi="Arial" w:cs="Arial"/>
                <w:sz w:val="20"/>
                <w:szCs w:val="20"/>
              </w:rPr>
            </w:pPr>
          </w:p>
          <w:p w:rsidR="004D42CA" w:rsidRPr="00F43D56" w:rsidRDefault="004D42CA" w:rsidP="000C4D23">
            <w:pPr>
              <w:rPr>
                <w:rFonts w:ascii="Arial" w:hAnsi="Arial" w:cs="Arial"/>
                <w:sz w:val="20"/>
                <w:szCs w:val="20"/>
              </w:rPr>
            </w:pPr>
            <w:r w:rsidRPr="00F43D56">
              <w:rPr>
                <w:rFonts w:ascii="Arial" w:hAnsi="Arial" w:cs="Arial"/>
                <w:sz w:val="20"/>
                <w:szCs w:val="20"/>
              </w:rPr>
              <w:t xml:space="preserve">Adequate mechanisms are in place to ensure that billing codes are correctly mapped.  No issues were noted. </w:t>
            </w:r>
          </w:p>
          <w:p w:rsidR="004D42CA" w:rsidRPr="00F43D56" w:rsidRDefault="004D42CA" w:rsidP="000C4D23">
            <w:pPr>
              <w:rPr>
                <w:rFonts w:ascii="Arial" w:eastAsia="Calibri" w:hAnsi="Arial" w:cs="Arial"/>
                <w:sz w:val="20"/>
                <w:szCs w:val="20"/>
              </w:rPr>
            </w:pPr>
          </w:p>
        </w:tc>
      </w:tr>
    </w:tbl>
    <w:p w:rsidR="004D42CA" w:rsidRPr="00F43D56" w:rsidRDefault="004D42CA" w:rsidP="004D42CA">
      <w:pPr>
        <w:tabs>
          <w:tab w:val="left" w:pos="5579"/>
        </w:tabs>
      </w:pPr>
    </w:p>
    <w:p w:rsidR="004D42CA" w:rsidRPr="00F43D56" w:rsidRDefault="004D42CA" w:rsidP="004D42CA">
      <w:pPr>
        <w:rPr>
          <w:rFonts w:ascii="Arial" w:hAnsi="Arial" w:cs="Arial"/>
          <w:sz w:val="16"/>
          <w:szCs w:val="16"/>
        </w:rPr>
      </w:pPr>
    </w:p>
    <w:p w:rsidR="004D42CA" w:rsidRPr="000F6CFB" w:rsidRDefault="004D42CA" w:rsidP="004D42CA">
      <w:pPr>
        <w:spacing w:line="276" w:lineRule="auto"/>
        <w:ind w:left="-990"/>
        <w:rPr>
          <w:rFonts w:ascii="Arial" w:hAnsi="Arial" w:cs="Arial"/>
          <w:sz w:val="16"/>
          <w:szCs w:val="16"/>
        </w:rPr>
      </w:pPr>
      <w:r w:rsidRPr="000F6CFB">
        <w:rPr>
          <w:rFonts w:ascii="Arial" w:hAnsi="Arial" w:cs="Arial"/>
          <w:sz w:val="16"/>
          <w:szCs w:val="16"/>
        </w:rPr>
        <w:t>170901-4</w:t>
      </w:r>
    </w:p>
    <w:p w:rsidR="008A596D" w:rsidRPr="00E24B3B" w:rsidRDefault="004D42CA" w:rsidP="00E24B3B">
      <w:pPr>
        <w:spacing w:line="276" w:lineRule="auto"/>
        <w:ind w:left="-990"/>
        <w:rPr>
          <w:rFonts w:ascii="Arial" w:hAnsi="Arial" w:cs="Arial"/>
          <w:sz w:val="16"/>
          <w:szCs w:val="16"/>
        </w:rPr>
      </w:pPr>
      <w:r w:rsidRPr="000F6CFB">
        <w:rPr>
          <w:rFonts w:ascii="Arial" w:hAnsi="Arial" w:cs="Arial"/>
          <w:sz w:val="16"/>
          <w:szCs w:val="16"/>
        </w:rPr>
        <w:t>REP</w:t>
      </w:r>
    </w:p>
    <w:sectPr w:rsidR="008A596D" w:rsidRPr="00E24B3B" w:rsidSect="000C4D23">
      <w:footerReference w:type="default" r:id="rId8"/>
      <w:footerReference w:type="first" r:id="rId9"/>
      <w:pgSz w:w="15840" w:h="12240" w:orient="landscape"/>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D23" w:rsidRDefault="000C4D23">
      <w:r>
        <w:separator/>
      </w:r>
    </w:p>
  </w:endnote>
  <w:endnote w:type="continuationSeparator" w:id="0">
    <w:p w:rsidR="000C4D23" w:rsidRDefault="000C4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11842"/>
      <w:docPartObj>
        <w:docPartGallery w:val="Page Numbers (Bottom of Page)"/>
        <w:docPartUnique/>
      </w:docPartObj>
    </w:sdtPr>
    <w:sdtEndPr>
      <w:rPr>
        <w:rFonts w:ascii="Arial" w:hAnsi="Arial" w:cs="Arial"/>
        <w:noProof/>
      </w:rPr>
    </w:sdtEndPr>
    <w:sdtContent>
      <w:p w:rsidR="000C4D23" w:rsidRPr="002F7943" w:rsidRDefault="000C4D23">
        <w:pPr>
          <w:pStyle w:val="Footer"/>
          <w:jc w:val="center"/>
          <w:rPr>
            <w:rFonts w:ascii="Arial" w:hAnsi="Arial" w:cs="Arial"/>
          </w:rPr>
        </w:pPr>
        <w:r w:rsidRPr="002F7943">
          <w:rPr>
            <w:rFonts w:ascii="Arial" w:hAnsi="Arial" w:cs="Arial"/>
          </w:rPr>
          <w:fldChar w:fldCharType="begin"/>
        </w:r>
        <w:r w:rsidRPr="002F7943">
          <w:rPr>
            <w:rFonts w:ascii="Arial" w:hAnsi="Arial" w:cs="Arial"/>
          </w:rPr>
          <w:instrText xml:space="preserve"> PAGE   \* MERGEFORMAT </w:instrText>
        </w:r>
        <w:r w:rsidRPr="002F7943">
          <w:rPr>
            <w:rFonts w:ascii="Arial" w:hAnsi="Arial" w:cs="Arial"/>
          </w:rPr>
          <w:fldChar w:fldCharType="separate"/>
        </w:r>
        <w:r w:rsidR="002F7418">
          <w:rPr>
            <w:rFonts w:ascii="Arial" w:hAnsi="Arial" w:cs="Arial"/>
            <w:noProof/>
          </w:rPr>
          <w:t>2</w:t>
        </w:r>
        <w:r w:rsidRPr="002F7943">
          <w:rPr>
            <w:rFonts w:ascii="Arial" w:hAnsi="Arial" w:cs="Arial"/>
            <w:noProof/>
          </w:rPr>
          <w:fldChar w:fldCharType="end"/>
        </w:r>
      </w:p>
    </w:sdtContent>
  </w:sdt>
  <w:p w:rsidR="000C4D23" w:rsidRDefault="000C4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02352"/>
      <w:docPartObj>
        <w:docPartGallery w:val="Page Numbers (Bottom of Page)"/>
        <w:docPartUnique/>
      </w:docPartObj>
    </w:sdtPr>
    <w:sdtEndPr>
      <w:rPr>
        <w:rFonts w:ascii="Arial" w:hAnsi="Arial" w:cs="Arial"/>
        <w:noProof/>
      </w:rPr>
    </w:sdtEndPr>
    <w:sdtContent>
      <w:p w:rsidR="000C4D23" w:rsidRPr="00330F16" w:rsidRDefault="000C4D23" w:rsidP="000C4D23">
        <w:pPr>
          <w:pStyle w:val="Footer"/>
          <w:jc w:val="center"/>
          <w:rPr>
            <w:rFonts w:ascii="Arial" w:hAnsi="Arial" w:cs="Arial"/>
          </w:rPr>
        </w:pPr>
        <w:r w:rsidRPr="0012575F">
          <w:rPr>
            <w:rFonts w:ascii="Arial" w:hAnsi="Arial" w:cs="Arial"/>
          </w:rPr>
          <w:fldChar w:fldCharType="begin"/>
        </w:r>
        <w:r w:rsidRPr="0012575F">
          <w:rPr>
            <w:rFonts w:ascii="Arial" w:hAnsi="Arial" w:cs="Arial"/>
          </w:rPr>
          <w:instrText xml:space="preserve"> PAGE   \* MERGEFORMAT </w:instrText>
        </w:r>
        <w:r w:rsidRPr="0012575F">
          <w:rPr>
            <w:rFonts w:ascii="Arial" w:hAnsi="Arial" w:cs="Arial"/>
          </w:rPr>
          <w:fldChar w:fldCharType="separate"/>
        </w:r>
        <w:r w:rsidR="002F7418">
          <w:rPr>
            <w:rFonts w:ascii="Arial" w:hAnsi="Arial" w:cs="Arial"/>
            <w:noProof/>
          </w:rPr>
          <w:t>5</w:t>
        </w:r>
        <w:r w:rsidRPr="0012575F">
          <w:rPr>
            <w:rFonts w:ascii="Arial" w:hAnsi="Arial" w:cs="Arial"/>
            <w:noProof/>
          </w:rPr>
          <w:fldChar w:fldCharType="end"/>
        </w:r>
      </w:p>
    </w:sdtContent>
  </w:sdt>
  <w:p w:rsidR="000C4D23" w:rsidRDefault="000C4D2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D23" w:rsidRPr="00330F16" w:rsidRDefault="000C4D23">
    <w:pPr>
      <w:pStyle w:val="Footer"/>
      <w:jc w:val="center"/>
      <w:rPr>
        <w:rFonts w:ascii="Arial" w:hAnsi="Arial" w:cs="Arial"/>
      </w:rPr>
    </w:pPr>
    <w:r w:rsidRPr="00330F16">
      <w:rPr>
        <w:rFonts w:ascii="Arial" w:hAnsi="Arial" w:cs="Arial"/>
      </w:rPr>
      <w:fldChar w:fldCharType="begin"/>
    </w:r>
    <w:r w:rsidRPr="00330F16">
      <w:rPr>
        <w:rFonts w:ascii="Arial" w:hAnsi="Arial" w:cs="Arial"/>
      </w:rPr>
      <w:instrText xml:space="preserve"> PAGE   \* MERGEFORMAT </w:instrText>
    </w:r>
    <w:r w:rsidRPr="00330F16">
      <w:rPr>
        <w:rFonts w:ascii="Arial" w:hAnsi="Arial" w:cs="Arial"/>
      </w:rPr>
      <w:fldChar w:fldCharType="separate"/>
    </w:r>
    <w:r>
      <w:rPr>
        <w:rFonts w:ascii="Arial" w:hAnsi="Arial" w:cs="Arial"/>
        <w:noProof/>
      </w:rPr>
      <w:t>2</w:t>
    </w:r>
    <w:r w:rsidRPr="00330F16">
      <w:rPr>
        <w:rFonts w:ascii="Arial" w:hAnsi="Arial" w:cs="Arial"/>
        <w:noProof/>
      </w:rPr>
      <w:fldChar w:fldCharType="end"/>
    </w:r>
  </w:p>
  <w:p w:rsidR="000C4D23" w:rsidRDefault="000C4D23">
    <w:pPr>
      <w:pStyle w:val="Footer"/>
    </w:pPr>
  </w:p>
  <w:p w:rsidR="000C4D23" w:rsidRDefault="000C4D2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D23" w:rsidRDefault="000C4D23">
      <w:r>
        <w:separator/>
      </w:r>
    </w:p>
  </w:footnote>
  <w:footnote w:type="continuationSeparator" w:id="0">
    <w:p w:rsidR="000C4D23" w:rsidRDefault="000C4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358BD"/>
    <w:multiLevelType w:val="hybridMultilevel"/>
    <w:tmpl w:val="2F60D9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D4B5731"/>
    <w:multiLevelType w:val="hybridMultilevel"/>
    <w:tmpl w:val="3042C2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636A3B"/>
    <w:multiLevelType w:val="hybridMultilevel"/>
    <w:tmpl w:val="AC0CC9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C4D23"/>
    <w:rsid w:val="000C514D"/>
    <w:rsid w:val="00292918"/>
    <w:rsid w:val="002F7418"/>
    <w:rsid w:val="004D42CA"/>
    <w:rsid w:val="008A596D"/>
    <w:rsid w:val="008E26A9"/>
    <w:rsid w:val="00C80D38"/>
    <w:rsid w:val="00E0248A"/>
    <w:rsid w:val="00E24B3B"/>
    <w:rsid w:val="00FD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53AE14-79FB-46E3-98B0-A6575EA2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D42CA"/>
    <w:pPr>
      <w:tabs>
        <w:tab w:val="center" w:pos="4680"/>
        <w:tab w:val="right" w:pos="9360"/>
      </w:tabs>
    </w:pPr>
  </w:style>
  <w:style w:type="character" w:customStyle="1" w:styleId="FooterChar">
    <w:name w:val="Footer Char"/>
    <w:basedOn w:val="DefaultParagraphFont"/>
    <w:link w:val="Footer"/>
    <w:uiPriority w:val="99"/>
    <w:rsid w:val="004D42CA"/>
    <w:rPr>
      <w:sz w:val="24"/>
      <w:szCs w:val="24"/>
    </w:rPr>
  </w:style>
  <w:style w:type="paragraph" w:styleId="BalloonText">
    <w:name w:val="Balloon Text"/>
    <w:basedOn w:val="Normal"/>
    <w:link w:val="BalloonTextChar"/>
    <w:semiHidden/>
    <w:unhideWhenUsed/>
    <w:rsid w:val="00E24B3B"/>
    <w:rPr>
      <w:rFonts w:ascii="Segoe UI" w:hAnsi="Segoe UI" w:cs="Segoe UI"/>
      <w:sz w:val="18"/>
      <w:szCs w:val="18"/>
    </w:rPr>
  </w:style>
  <w:style w:type="character" w:customStyle="1" w:styleId="BalloonTextChar">
    <w:name w:val="Balloon Text Char"/>
    <w:basedOn w:val="DefaultParagraphFont"/>
    <w:link w:val="BalloonText"/>
    <w:semiHidden/>
    <w:rsid w:val="00E24B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A3699AD5</Template>
  <TotalTime>2</TotalTime>
  <Pages>6</Pages>
  <Words>1302</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Paulina Nunez</cp:lastModifiedBy>
  <cp:revision>4</cp:revision>
  <cp:lastPrinted>2018-07-25T19:12:00Z</cp:lastPrinted>
  <dcterms:created xsi:type="dcterms:W3CDTF">2018-07-25T19:12:00Z</dcterms:created>
  <dcterms:modified xsi:type="dcterms:W3CDTF">2018-07-30T16:38:00Z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