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046" w:rsidRDefault="00BD7046" w:rsidP="0059258F">
      <w:pPr>
        <w:spacing w:line="360" w:lineRule="auto"/>
        <w:rPr>
          <w:rFonts w:ascii="Arial" w:hAnsi="Arial" w:cs="Arial"/>
        </w:rPr>
      </w:pPr>
    </w:p>
    <w:p w:rsidR="00BD7046" w:rsidRDefault="00BD7046">
      <w:pPr>
        <w:spacing w:line="360" w:lineRule="auto"/>
        <w:jc w:val="center"/>
        <w:rPr>
          <w:rFonts w:ascii="Arial" w:hAnsi="Arial" w:cs="Arial"/>
        </w:rPr>
      </w:pPr>
    </w:p>
    <w:p w:rsidR="00BD7046" w:rsidRDefault="00BD7046">
      <w:pPr>
        <w:spacing w:line="360" w:lineRule="auto"/>
        <w:jc w:val="center"/>
        <w:rPr>
          <w:rFonts w:ascii="Arial" w:hAnsi="Arial" w:cs="Arial"/>
        </w:rPr>
      </w:pPr>
    </w:p>
    <w:p w:rsidR="00086753" w:rsidRDefault="00086753">
      <w:pPr>
        <w:spacing w:line="360" w:lineRule="auto"/>
        <w:jc w:val="center"/>
        <w:rPr>
          <w:rFonts w:ascii="Arial" w:hAnsi="Arial" w:cs="Arial"/>
        </w:rPr>
      </w:pPr>
    </w:p>
    <w:p w:rsidR="00086753" w:rsidRDefault="00086753">
      <w:pPr>
        <w:spacing w:line="360" w:lineRule="auto"/>
        <w:jc w:val="center"/>
        <w:rPr>
          <w:rFonts w:ascii="Arial" w:hAnsi="Arial" w:cs="Arial"/>
        </w:rPr>
      </w:pPr>
    </w:p>
    <w:p w:rsidR="00086753" w:rsidRDefault="00086753">
      <w:pPr>
        <w:spacing w:line="360" w:lineRule="auto"/>
        <w:jc w:val="center"/>
        <w:rPr>
          <w:rFonts w:ascii="Arial" w:hAnsi="Arial" w:cs="Arial"/>
        </w:rPr>
      </w:pPr>
    </w:p>
    <w:p w:rsidR="009B65D0" w:rsidRDefault="009B65D0">
      <w:pPr>
        <w:spacing w:line="360" w:lineRule="auto"/>
        <w:jc w:val="center"/>
        <w:rPr>
          <w:rFonts w:ascii="Arial" w:hAnsi="Arial" w:cs="Arial"/>
        </w:rPr>
      </w:pPr>
    </w:p>
    <w:p w:rsidR="00BD7046" w:rsidRDefault="00EB597A">
      <w:pPr>
        <w:spacing w:line="360" w:lineRule="auto"/>
        <w:jc w:val="center"/>
        <w:rPr>
          <w:rFonts w:ascii="Arial" w:hAnsi="Arial" w:cs="Arial"/>
        </w:rPr>
      </w:pPr>
      <w:r>
        <w:rPr>
          <w:rFonts w:ascii="Arial" w:hAnsi="Arial" w:cs="Arial"/>
        </w:rPr>
        <w:t>CAPITAL PROGRAMS</w:t>
      </w:r>
      <w:bookmarkStart w:id="0" w:name="_GoBack"/>
      <w:bookmarkEnd w:id="0"/>
    </w:p>
    <w:p w:rsidR="00BD7046" w:rsidRDefault="009248E8">
      <w:pPr>
        <w:spacing w:line="360" w:lineRule="auto"/>
        <w:jc w:val="center"/>
        <w:rPr>
          <w:rFonts w:ascii="Arial" w:hAnsi="Arial" w:cs="Arial"/>
        </w:rPr>
      </w:pPr>
      <w:r>
        <w:rPr>
          <w:rFonts w:ascii="Arial" w:hAnsi="Arial" w:cs="Arial"/>
        </w:rPr>
        <w:t>PROJECT CLOSE-OUT PROCESS REVIEW</w:t>
      </w:r>
    </w:p>
    <w:p w:rsidR="00BD7046" w:rsidRDefault="00BB68DB">
      <w:pPr>
        <w:spacing w:line="360" w:lineRule="auto"/>
        <w:jc w:val="center"/>
        <w:rPr>
          <w:rFonts w:ascii="Arial" w:hAnsi="Arial" w:cs="Arial"/>
        </w:rPr>
      </w:pPr>
      <w:r>
        <w:rPr>
          <w:rFonts w:ascii="Arial" w:hAnsi="Arial" w:cs="Arial"/>
        </w:rPr>
        <w:t>AUDIT REPORT #16-2103</w:t>
      </w: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9248E8" w:rsidP="00EB28FE">
      <w:pPr>
        <w:jc w:val="center"/>
        <w:rPr>
          <w:rFonts w:ascii="Arial" w:hAnsi="Arial" w:cs="Arial"/>
          <w:sz w:val="16"/>
          <w:szCs w:val="16"/>
        </w:rPr>
      </w:pPr>
      <w:r>
        <w:rPr>
          <w:rFonts w:ascii="Arial" w:hAnsi="Arial" w:cs="Arial"/>
          <w:sz w:val="16"/>
          <w:szCs w:val="16"/>
        </w:rPr>
        <w:t>Audit &amp; Advisory Services</w:t>
      </w:r>
    </w:p>
    <w:p w:rsidR="00EB28FE" w:rsidRDefault="00842446" w:rsidP="00EB28FE">
      <w:pPr>
        <w:jc w:val="center"/>
        <w:rPr>
          <w:rFonts w:ascii="Arial" w:hAnsi="Arial" w:cs="Arial"/>
          <w:sz w:val="16"/>
          <w:szCs w:val="16"/>
        </w:rPr>
        <w:sectPr w:rsidR="00EB28FE" w:rsidSect="003D0AC0">
          <w:footerReference w:type="default" r:id="rId9"/>
          <w:pgSz w:w="12240" w:h="15840"/>
          <w:pgMar w:top="1440" w:right="1440" w:bottom="1080" w:left="1440" w:header="720" w:footer="720" w:gutter="0"/>
          <w:pgNumType w:start="1"/>
          <w:cols w:space="720"/>
          <w:docGrid w:linePitch="360"/>
        </w:sectPr>
      </w:pPr>
      <w:r>
        <w:rPr>
          <w:rFonts w:ascii="Arial" w:hAnsi="Arial" w:cs="Arial"/>
          <w:sz w:val="16"/>
          <w:szCs w:val="16"/>
        </w:rPr>
        <w:t xml:space="preserve">September </w:t>
      </w:r>
      <w:r w:rsidR="00EB28FE">
        <w:rPr>
          <w:rFonts w:ascii="Arial" w:hAnsi="Arial" w:cs="Arial"/>
          <w:sz w:val="16"/>
          <w:szCs w:val="16"/>
        </w:rPr>
        <w:t>2016</w:t>
      </w:r>
    </w:p>
    <w:p w:rsidR="00BD7046" w:rsidRDefault="009248E8">
      <w:pPr>
        <w:spacing w:line="360" w:lineRule="auto"/>
        <w:jc w:val="center"/>
        <w:rPr>
          <w:rFonts w:ascii="Arial" w:hAnsi="Arial" w:cs="Arial"/>
        </w:rPr>
      </w:pPr>
      <w:r>
        <w:rPr>
          <w:rFonts w:ascii="Arial" w:hAnsi="Arial" w:cs="Arial"/>
        </w:rPr>
        <w:lastRenderedPageBreak/>
        <w:t>CAPITAL PROGRAMS</w:t>
      </w:r>
    </w:p>
    <w:p w:rsidR="00BD7046" w:rsidRDefault="009248E8">
      <w:pPr>
        <w:spacing w:line="360" w:lineRule="auto"/>
        <w:jc w:val="center"/>
        <w:rPr>
          <w:rFonts w:ascii="Arial" w:hAnsi="Arial" w:cs="Arial"/>
        </w:rPr>
      </w:pPr>
      <w:r>
        <w:rPr>
          <w:rFonts w:ascii="Arial" w:hAnsi="Arial" w:cs="Arial"/>
        </w:rPr>
        <w:t>PROJECT CLOSE-OUT PROCESS REVIEW</w:t>
      </w:r>
    </w:p>
    <w:p w:rsidR="00BD7046" w:rsidRDefault="0010347D">
      <w:pPr>
        <w:spacing w:line="360" w:lineRule="auto"/>
        <w:jc w:val="center"/>
        <w:rPr>
          <w:rFonts w:ascii="Arial" w:hAnsi="Arial" w:cs="Arial"/>
        </w:rPr>
      </w:pPr>
      <w:r>
        <w:rPr>
          <w:rFonts w:ascii="Arial" w:hAnsi="Arial" w:cs="Arial"/>
        </w:rPr>
        <w:t>AUDIT REPORT #16-2103</w:t>
      </w:r>
    </w:p>
    <w:p w:rsidR="00BD7046" w:rsidRDefault="00BD7046">
      <w:pPr>
        <w:rPr>
          <w:rFonts w:ascii="Arial" w:hAnsi="Arial" w:cs="Arial"/>
        </w:rPr>
      </w:pPr>
    </w:p>
    <w:p w:rsidR="00BD7046" w:rsidRDefault="009248E8" w:rsidP="0059258F">
      <w:pPr>
        <w:spacing w:line="360" w:lineRule="auto"/>
        <w:jc w:val="both"/>
        <w:rPr>
          <w:rFonts w:ascii="Arial" w:hAnsi="Arial" w:cs="Arial"/>
          <w:u w:val="single"/>
        </w:rPr>
      </w:pPr>
      <w:r>
        <w:rPr>
          <w:rFonts w:ascii="Arial" w:hAnsi="Arial" w:cs="Arial"/>
          <w:u w:val="single"/>
        </w:rPr>
        <w:t>Background</w:t>
      </w:r>
    </w:p>
    <w:p w:rsidR="00BD7046" w:rsidRDefault="00BD7046" w:rsidP="00C810E7">
      <w:pPr>
        <w:spacing w:line="360" w:lineRule="auto"/>
        <w:jc w:val="both"/>
        <w:rPr>
          <w:rFonts w:ascii="Arial" w:hAnsi="Arial" w:cs="Arial"/>
        </w:rPr>
      </w:pPr>
    </w:p>
    <w:p w:rsidR="00BD7046" w:rsidRPr="00E42472" w:rsidRDefault="009248E8" w:rsidP="00C810E7">
      <w:pPr>
        <w:spacing w:line="360" w:lineRule="auto"/>
        <w:jc w:val="both"/>
        <w:rPr>
          <w:rFonts w:ascii="Arial" w:hAnsi="Arial" w:cs="Arial"/>
        </w:rPr>
      </w:pPr>
      <w:r w:rsidRPr="00D145DE">
        <w:rPr>
          <w:rFonts w:ascii="Arial" w:hAnsi="Arial" w:cs="Arial"/>
        </w:rPr>
        <w:t xml:space="preserve">In accordance with the </w:t>
      </w:r>
      <w:r w:rsidR="00466FD2" w:rsidRPr="00D145DE">
        <w:rPr>
          <w:rFonts w:ascii="Arial" w:hAnsi="Arial" w:cs="Arial"/>
        </w:rPr>
        <w:t xml:space="preserve">Campus </w:t>
      </w:r>
      <w:r w:rsidRPr="00D145DE">
        <w:rPr>
          <w:rFonts w:ascii="Arial" w:hAnsi="Arial" w:cs="Arial"/>
        </w:rPr>
        <w:t>fiscal year 201</w:t>
      </w:r>
      <w:r w:rsidR="00466FD2" w:rsidRPr="00D145DE">
        <w:rPr>
          <w:rFonts w:ascii="Arial" w:hAnsi="Arial" w:cs="Arial"/>
        </w:rPr>
        <w:t>5</w:t>
      </w:r>
      <w:r w:rsidRPr="00793231">
        <w:rPr>
          <w:rFonts w:ascii="Arial" w:hAnsi="Arial" w:cs="Arial"/>
        </w:rPr>
        <w:t>-1</w:t>
      </w:r>
      <w:r w:rsidR="00466FD2" w:rsidRPr="00793231">
        <w:rPr>
          <w:rFonts w:ascii="Arial" w:hAnsi="Arial" w:cs="Arial"/>
        </w:rPr>
        <w:t>6</w:t>
      </w:r>
      <w:r w:rsidRPr="00793231">
        <w:rPr>
          <w:rFonts w:ascii="Arial" w:hAnsi="Arial" w:cs="Arial"/>
        </w:rPr>
        <w:t xml:space="preserve"> audit plan, Audit &amp; Advisory Services (A&amp;AS) </w:t>
      </w:r>
      <w:r w:rsidR="007335D0" w:rsidRPr="00793231">
        <w:rPr>
          <w:rFonts w:ascii="Arial" w:hAnsi="Arial" w:cs="Arial"/>
        </w:rPr>
        <w:t>conducted</w:t>
      </w:r>
      <w:r w:rsidRPr="00793231">
        <w:rPr>
          <w:rFonts w:ascii="Arial" w:hAnsi="Arial" w:cs="Arial"/>
        </w:rPr>
        <w:t xml:space="preserve"> a</w:t>
      </w:r>
      <w:r w:rsidR="007335D0" w:rsidRPr="00793231">
        <w:rPr>
          <w:rFonts w:ascii="Arial" w:hAnsi="Arial" w:cs="Arial"/>
        </w:rPr>
        <w:t>n</w:t>
      </w:r>
      <w:r w:rsidRPr="00E42472">
        <w:rPr>
          <w:rFonts w:ascii="Arial" w:hAnsi="Arial" w:cs="Arial"/>
        </w:rPr>
        <w:t xml:space="preserve"> </w:t>
      </w:r>
      <w:r w:rsidR="007335D0" w:rsidRPr="00E42472">
        <w:rPr>
          <w:rFonts w:ascii="Arial" w:hAnsi="Arial" w:cs="Arial"/>
        </w:rPr>
        <w:t>audit</w:t>
      </w:r>
      <w:r w:rsidRPr="00E42472">
        <w:rPr>
          <w:rFonts w:ascii="Arial" w:hAnsi="Arial" w:cs="Arial"/>
        </w:rPr>
        <w:t xml:space="preserve"> of </w:t>
      </w:r>
      <w:r w:rsidR="00D145DE" w:rsidRPr="003F4F7A">
        <w:rPr>
          <w:rFonts w:ascii="Arial" w:hAnsi="Arial" w:cs="Arial"/>
          <w:color w:val="000000" w:themeColor="text1"/>
        </w:rPr>
        <w:t xml:space="preserve">key construction project close-out processes and their related activities within the UCLA Capital Programs </w:t>
      </w:r>
      <w:r w:rsidR="00793231">
        <w:rPr>
          <w:rFonts w:ascii="Arial" w:hAnsi="Arial" w:cs="Arial"/>
          <w:color w:val="000000" w:themeColor="text1"/>
        </w:rPr>
        <w:t xml:space="preserve">(CP) </w:t>
      </w:r>
      <w:r w:rsidR="00D145DE" w:rsidRPr="003F4F7A">
        <w:rPr>
          <w:rFonts w:ascii="Arial" w:hAnsi="Arial" w:cs="Arial"/>
          <w:color w:val="000000" w:themeColor="text1"/>
        </w:rPr>
        <w:t>department.</w:t>
      </w:r>
      <w:r w:rsidRPr="00E42472">
        <w:rPr>
          <w:rFonts w:ascii="Arial" w:hAnsi="Arial" w:cs="Arial"/>
        </w:rPr>
        <w:t xml:space="preserve"> </w:t>
      </w:r>
    </w:p>
    <w:p w:rsidR="00BD7046" w:rsidRDefault="00BD7046">
      <w:pPr>
        <w:spacing w:line="360" w:lineRule="auto"/>
        <w:jc w:val="both"/>
        <w:rPr>
          <w:rFonts w:ascii="Arial" w:hAnsi="Arial" w:cs="Arial"/>
        </w:rPr>
      </w:pPr>
    </w:p>
    <w:p w:rsidR="00606B28" w:rsidRPr="00704D90" w:rsidRDefault="00606B28" w:rsidP="00606B28">
      <w:pPr>
        <w:spacing w:line="360" w:lineRule="auto"/>
        <w:jc w:val="both"/>
        <w:rPr>
          <w:rFonts w:ascii="Arial" w:hAnsi="Arial"/>
          <w:i/>
          <w:u w:val="single"/>
        </w:rPr>
      </w:pPr>
      <w:r w:rsidRPr="00704D90">
        <w:rPr>
          <w:rFonts w:ascii="Arial" w:hAnsi="Arial"/>
          <w:i/>
          <w:u w:val="single"/>
        </w:rPr>
        <w:t>Capital Programs Overview</w:t>
      </w:r>
    </w:p>
    <w:p w:rsidR="00606B28" w:rsidRDefault="00606B28" w:rsidP="00606B28">
      <w:pPr>
        <w:spacing w:line="360" w:lineRule="auto"/>
        <w:jc w:val="both"/>
        <w:rPr>
          <w:rFonts w:ascii="Arial" w:hAnsi="Arial"/>
        </w:rPr>
      </w:pPr>
    </w:p>
    <w:p w:rsidR="00606B28" w:rsidRDefault="00606B28" w:rsidP="00606B28">
      <w:pPr>
        <w:spacing w:line="360" w:lineRule="auto"/>
        <w:jc w:val="both"/>
        <w:rPr>
          <w:rFonts w:ascii="Arial" w:hAnsi="Arial"/>
        </w:rPr>
      </w:pPr>
      <w:r>
        <w:rPr>
          <w:rFonts w:ascii="Arial" w:hAnsi="Arial"/>
        </w:rPr>
        <w:t xml:space="preserve">The CP department </w:t>
      </w:r>
      <w:r w:rsidRPr="00C25821">
        <w:rPr>
          <w:rFonts w:ascii="Arial" w:hAnsi="Arial"/>
        </w:rPr>
        <w:t xml:space="preserve">is responsible for </w:t>
      </w:r>
      <w:r>
        <w:rPr>
          <w:rFonts w:ascii="Arial" w:hAnsi="Arial"/>
        </w:rPr>
        <w:t>conceptualizing</w:t>
      </w:r>
      <w:r w:rsidRPr="00C25821">
        <w:rPr>
          <w:rFonts w:ascii="Arial" w:hAnsi="Arial"/>
        </w:rPr>
        <w:t>, planning, design</w:t>
      </w:r>
      <w:r>
        <w:rPr>
          <w:rFonts w:ascii="Arial" w:hAnsi="Arial"/>
        </w:rPr>
        <w:t>ing,</w:t>
      </w:r>
      <w:r w:rsidRPr="00C25821">
        <w:rPr>
          <w:rFonts w:ascii="Arial" w:hAnsi="Arial"/>
        </w:rPr>
        <w:t xml:space="preserve"> and </w:t>
      </w:r>
      <w:r>
        <w:rPr>
          <w:rFonts w:ascii="Arial" w:hAnsi="Arial"/>
        </w:rPr>
        <w:t>constructing</w:t>
      </w:r>
      <w:r w:rsidRPr="00C25821">
        <w:rPr>
          <w:rFonts w:ascii="Arial" w:hAnsi="Arial"/>
        </w:rPr>
        <w:t xml:space="preserve"> major capital construction and renovation projects at UCLA.</w:t>
      </w:r>
      <w:r>
        <w:rPr>
          <w:rFonts w:ascii="Arial" w:hAnsi="Arial"/>
        </w:rPr>
        <w:t xml:space="preserve">  Projects having</w:t>
      </w:r>
      <w:r w:rsidRPr="00C25821">
        <w:rPr>
          <w:rFonts w:ascii="Arial" w:hAnsi="Arial"/>
        </w:rPr>
        <w:t xml:space="preserve"> total cost</w:t>
      </w:r>
      <w:r>
        <w:rPr>
          <w:rFonts w:ascii="Arial" w:hAnsi="Arial"/>
        </w:rPr>
        <w:t>s</w:t>
      </w:r>
      <w:r w:rsidRPr="00C25821">
        <w:rPr>
          <w:rFonts w:ascii="Arial" w:hAnsi="Arial"/>
        </w:rPr>
        <w:t xml:space="preserve"> of $750,000</w:t>
      </w:r>
      <w:r>
        <w:rPr>
          <w:rFonts w:ascii="Arial" w:hAnsi="Arial"/>
        </w:rPr>
        <w:t xml:space="preserve"> and above are considered major capital construction.  CP </w:t>
      </w:r>
      <w:r w:rsidRPr="00C25821">
        <w:rPr>
          <w:rFonts w:ascii="Arial" w:hAnsi="Arial"/>
        </w:rPr>
        <w:t>develop</w:t>
      </w:r>
      <w:r>
        <w:rPr>
          <w:rFonts w:ascii="Arial" w:hAnsi="Arial"/>
        </w:rPr>
        <w:t>s</w:t>
      </w:r>
      <w:r w:rsidRPr="00C25821">
        <w:rPr>
          <w:rFonts w:ascii="Arial" w:hAnsi="Arial"/>
        </w:rPr>
        <w:t xml:space="preserve"> financial strategies, obtain</w:t>
      </w:r>
      <w:r>
        <w:rPr>
          <w:rFonts w:ascii="Arial" w:hAnsi="Arial"/>
        </w:rPr>
        <w:t>s</w:t>
      </w:r>
      <w:r w:rsidRPr="00C25821">
        <w:rPr>
          <w:rFonts w:ascii="Arial" w:hAnsi="Arial"/>
        </w:rPr>
        <w:t xml:space="preserve"> project approvals, </w:t>
      </w:r>
      <w:r>
        <w:rPr>
          <w:rFonts w:ascii="Arial" w:hAnsi="Arial"/>
        </w:rPr>
        <w:t>r</w:t>
      </w:r>
      <w:r w:rsidRPr="00C25821">
        <w:rPr>
          <w:rFonts w:ascii="Arial" w:hAnsi="Arial"/>
        </w:rPr>
        <w:t>eview</w:t>
      </w:r>
      <w:r>
        <w:rPr>
          <w:rFonts w:ascii="Arial" w:hAnsi="Arial"/>
        </w:rPr>
        <w:t>s</w:t>
      </w:r>
      <w:r w:rsidRPr="00C25821">
        <w:rPr>
          <w:rFonts w:ascii="Arial" w:hAnsi="Arial"/>
        </w:rPr>
        <w:t xml:space="preserve"> plans and specifications, </w:t>
      </w:r>
      <w:r>
        <w:rPr>
          <w:rFonts w:ascii="Arial" w:hAnsi="Arial"/>
        </w:rPr>
        <w:t xml:space="preserve">completes </w:t>
      </w:r>
      <w:r w:rsidRPr="00C25821">
        <w:rPr>
          <w:rFonts w:ascii="Arial" w:hAnsi="Arial"/>
        </w:rPr>
        <w:t>environmental reviews, prepare</w:t>
      </w:r>
      <w:r>
        <w:rPr>
          <w:rFonts w:ascii="Arial" w:hAnsi="Arial"/>
        </w:rPr>
        <w:t>s</w:t>
      </w:r>
      <w:r w:rsidRPr="00C25821">
        <w:rPr>
          <w:rFonts w:ascii="Arial" w:hAnsi="Arial"/>
        </w:rPr>
        <w:t xml:space="preserve"> and negotiate</w:t>
      </w:r>
      <w:r>
        <w:rPr>
          <w:rFonts w:ascii="Arial" w:hAnsi="Arial"/>
        </w:rPr>
        <w:t>s</w:t>
      </w:r>
      <w:r w:rsidRPr="00C25821">
        <w:rPr>
          <w:rFonts w:ascii="Arial" w:hAnsi="Arial"/>
        </w:rPr>
        <w:t xml:space="preserve"> construction contracts, </w:t>
      </w:r>
      <w:r>
        <w:rPr>
          <w:rFonts w:ascii="Arial" w:hAnsi="Arial"/>
        </w:rPr>
        <w:t>coordinates staging plans, and serves</w:t>
      </w:r>
      <w:r w:rsidRPr="00C25821">
        <w:rPr>
          <w:rFonts w:ascii="Arial" w:hAnsi="Arial"/>
        </w:rPr>
        <w:t xml:space="preserve"> as a repository for project records and as-built plans.</w:t>
      </w:r>
    </w:p>
    <w:p w:rsidR="00606B28" w:rsidRDefault="00606B28" w:rsidP="00606B28">
      <w:pPr>
        <w:spacing w:line="360" w:lineRule="auto"/>
        <w:jc w:val="both"/>
        <w:rPr>
          <w:rFonts w:ascii="Arial" w:hAnsi="Arial"/>
        </w:rPr>
      </w:pPr>
    </w:p>
    <w:p w:rsidR="00606B28" w:rsidRDefault="00606B28" w:rsidP="00606B28">
      <w:pPr>
        <w:spacing w:line="360" w:lineRule="auto"/>
        <w:jc w:val="both"/>
        <w:rPr>
          <w:rFonts w:ascii="Arial" w:hAnsi="Arial"/>
        </w:rPr>
      </w:pPr>
      <w:r>
        <w:rPr>
          <w:rFonts w:ascii="Arial" w:hAnsi="Arial"/>
        </w:rPr>
        <w:t>The department’s mission is to create projects that “support the instruction and research mission of the University by providing a physical campus environment that fosters excellence, creativity, and a sense of community.”  Capital projects are developed to take into account UCLA land use priorities, established physical designs, University policies and procedures, environmental and regulatory requirements, and community interests.</w:t>
      </w:r>
    </w:p>
    <w:p w:rsidR="00611208" w:rsidRDefault="00611208" w:rsidP="00606B28">
      <w:pPr>
        <w:spacing w:line="360" w:lineRule="auto"/>
        <w:jc w:val="both"/>
        <w:rPr>
          <w:rFonts w:ascii="Arial" w:hAnsi="Arial"/>
        </w:rPr>
      </w:pPr>
    </w:p>
    <w:p w:rsidR="00606B28" w:rsidRDefault="00606B28" w:rsidP="00606B28">
      <w:pPr>
        <w:spacing w:line="360" w:lineRule="auto"/>
        <w:jc w:val="both"/>
        <w:rPr>
          <w:rFonts w:ascii="Arial" w:hAnsi="Arial"/>
        </w:rPr>
      </w:pPr>
      <w:r>
        <w:rPr>
          <w:rFonts w:ascii="Arial" w:hAnsi="Arial"/>
        </w:rPr>
        <w:t>The CP department consists of the following three areas:</w:t>
      </w:r>
    </w:p>
    <w:p w:rsidR="00606B28" w:rsidRDefault="00606B28" w:rsidP="00606B28">
      <w:pPr>
        <w:spacing w:line="360" w:lineRule="auto"/>
        <w:jc w:val="both"/>
        <w:rPr>
          <w:rFonts w:ascii="Arial" w:hAnsi="Arial"/>
        </w:rPr>
      </w:pPr>
    </w:p>
    <w:p w:rsidR="00606B28" w:rsidRDefault="00606B28" w:rsidP="00606B28">
      <w:pPr>
        <w:spacing w:line="360" w:lineRule="auto"/>
        <w:jc w:val="both"/>
        <w:rPr>
          <w:rFonts w:ascii="Arial" w:hAnsi="Arial"/>
        </w:rPr>
      </w:pPr>
      <w:r w:rsidRPr="005B43E3">
        <w:rPr>
          <w:rFonts w:ascii="Arial" w:hAnsi="Arial"/>
          <w:i/>
        </w:rPr>
        <w:t>Capital Planning and Finance</w:t>
      </w:r>
      <w:r>
        <w:rPr>
          <w:rFonts w:ascii="Arial" w:hAnsi="Arial"/>
        </w:rPr>
        <w:t xml:space="preserve"> – responsible for </w:t>
      </w:r>
      <w:r w:rsidRPr="00D05DD4">
        <w:rPr>
          <w:rFonts w:ascii="Arial" w:hAnsi="Arial"/>
        </w:rPr>
        <w:t>planning, environmental assessment, project budgeting, and project financial services including contracts administration</w:t>
      </w:r>
      <w:r>
        <w:rPr>
          <w:rFonts w:ascii="Arial" w:hAnsi="Arial"/>
        </w:rPr>
        <w:t>.  This area is led by an Associate Vice Chancellor who reports to the Vice Chancellor and Chief Financial Officer.</w:t>
      </w:r>
    </w:p>
    <w:p w:rsidR="00606B28" w:rsidRDefault="00606B28" w:rsidP="00606B28">
      <w:pPr>
        <w:spacing w:line="360" w:lineRule="auto"/>
        <w:jc w:val="both"/>
        <w:rPr>
          <w:rFonts w:ascii="Arial" w:hAnsi="Arial"/>
        </w:rPr>
      </w:pPr>
      <w:r w:rsidRPr="005B43E3">
        <w:rPr>
          <w:rFonts w:ascii="Arial" w:hAnsi="Arial"/>
          <w:i/>
        </w:rPr>
        <w:t>Design and Construction</w:t>
      </w:r>
      <w:r>
        <w:rPr>
          <w:rFonts w:ascii="Arial" w:hAnsi="Arial"/>
        </w:rPr>
        <w:t xml:space="preserve"> – r</w:t>
      </w:r>
      <w:r w:rsidRPr="00D829A6">
        <w:rPr>
          <w:rFonts w:ascii="Arial" w:hAnsi="Arial"/>
        </w:rPr>
        <w:t xml:space="preserve">esponsible for project design, </w:t>
      </w:r>
      <w:r>
        <w:rPr>
          <w:rFonts w:ascii="Arial" w:hAnsi="Arial"/>
        </w:rPr>
        <w:t xml:space="preserve">engineering, permitting and inspection services, </w:t>
      </w:r>
      <w:r w:rsidRPr="00D829A6">
        <w:rPr>
          <w:rFonts w:ascii="Arial" w:hAnsi="Arial"/>
        </w:rPr>
        <w:t>project management, and construction management</w:t>
      </w:r>
      <w:r>
        <w:rPr>
          <w:rFonts w:ascii="Arial" w:hAnsi="Arial"/>
        </w:rPr>
        <w:t xml:space="preserve"> activities.  This area is led by an Associate Vice Chancellor who reports to the Vice Chancellor and Chief Financial Officer.</w:t>
      </w:r>
    </w:p>
    <w:p w:rsidR="00606B28" w:rsidRDefault="00606B28" w:rsidP="00606B28">
      <w:pPr>
        <w:spacing w:line="360" w:lineRule="auto"/>
        <w:jc w:val="both"/>
        <w:rPr>
          <w:rFonts w:ascii="Arial" w:hAnsi="Arial"/>
        </w:rPr>
      </w:pPr>
    </w:p>
    <w:p w:rsidR="00606B28" w:rsidRDefault="00606B28" w:rsidP="00606B28">
      <w:pPr>
        <w:spacing w:line="360" w:lineRule="auto"/>
        <w:jc w:val="both"/>
        <w:rPr>
          <w:rFonts w:ascii="Arial" w:hAnsi="Arial"/>
        </w:rPr>
      </w:pPr>
      <w:r w:rsidRPr="005B43E3">
        <w:rPr>
          <w:rFonts w:ascii="Arial" w:hAnsi="Arial"/>
          <w:i/>
        </w:rPr>
        <w:t>Administrative Services</w:t>
      </w:r>
      <w:r>
        <w:rPr>
          <w:rFonts w:ascii="Arial" w:hAnsi="Arial"/>
        </w:rPr>
        <w:t xml:space="preserve"> – includes building operations, information technology, and personnel, and is overseen by a Director who reports to the Vice Chancellor and Chief Financial Officer.</w:t>
      </w:r>
    </w:p>
    <w:p w:rsidR="00611208" w:rsidRDefault="00611208" w:rsidP="00606B28">
      <w:pPr>
        <w:spacing w:line="360" w:lineRule="auto"/>
        <w:jc w:val="both"/>
        <w:rPr>
          <w:rFonts w:ascii="Arial" w:hAnsi="Arial"/>
        </w:rPr>
      </w:pPr>
    </w:p>
    <w:p w:rsidR="00611208" w:rsidRDefault="00611208" w:rsidP="00611208">
      <w:pPr>
        <w:pStyle w:val="NoSpacing"/>
        <w:spacing w:line="360" w:lineRule="auto"/>
        <w:jc w:val="both"/>
        <w:rPr>
          <w:i/>
          <w:u w:val="single"/>
        </w:rPr>
      </w:pPr>
      <w:r w:rsidRPr="00611208">
        <w:rPr>
          <w:i/>
          <w:u w:val="single"/>
        </w:rPr>
        <w:t xml:space="preserve">Close-Out Process </w:t>
      </w:r>
      <w:r>
        <w:rPr>
          <w:i/>
          <w:u w:val="single"/>
        </w:rPr>
        <w:t>–</w:t>
      </w:r>
      <w:r w:rsidRPr="00611208">
        <w:rPr>
          <w:i/>
          <w:u w:val="single"/>
        </w:rPr>
        <w:t xml:space="preserve"> Overview</w:t>
      </w:r>
    </w:p>
    <w:p w:rsidR="00611208" w:rsidRPr="00611208" w:rsidRDefault="00611208" w:rsidP="00611208">
      <w:pPr>
        <w:pStyle w:val="NoSpacing"/>
        <w:spacing w:line="360" w:lineRule="auto"/>
        <w:jc w:val="both"/>
      </w:pPr>
    </w:p>
    <w:p w:rsidR="00BD7046" w:rsidRDefault="009248E8">
      <w:pPr>
        <w:pStyle w:val="NoSpacing"/>
        <w:spacing w:line="360" w:lineRule="auto"/>
        <w:jc w:val="both"/>
      </w:pPr>
      <w:r>
        <w:t>Project close-out is an important, distinct phase of a construction project that requires its own management process.  The process can be lengthy and challenging depending on a project’s size, complexity, duration, and physical environment.  It is important because it facilitates project commissioning and ensures fulfillment of contractual and legal obligations before releasing final payment to the contractor.  Administratively, a well executed close-out process is one indicator that a given construction project was properly managed throughout its duration.</w:t>
      </w:r>
    </w:p>
    <w:p w:rsidR="00BD7046" w:rsidRDefault="00BD7046">
      <w:pPr>
        <w:pStyle w:val="NoSpacing"/>
        <w:spacing w:line="360" w:lineRule="auto"/>
        <w:jc w:val="both"/>
      </w:pPr>
    </w:p>
    <w:p w:rsidR="00BD7046" w:rsidRDefault="009248E8">
      <w:pPr>
        <w:pStyle w:val="NoSpacing"/>
        <w:spacing w:line="360" w:lineRule="auto"/>
        <w:jc w:val="both"/>
      </w:pPr>
      <w:r>
        <w:t xml:space="preserve">The close-out process is synchronized to, and driven by the construction contract and includes negotiating final change orders, completing punch list items, release of final payment and retention to the general contractor, and maintaining builders risk insurance.  It also includes obtaining required documentation such as </w:t>
      </w:r>
      <w:r w:rsidR="00011204">
        <w:t>O</w:t>
      </w:r>
      <w:r>
        <w:t xml:space="preserve">perating and </w:t>
      </w:r>
      <w:r w:rsidR="00011204">
        <w:t>M</w:t>
      </w:r>
      <w:r>
        <w:t xml:space="preserve">aintenance (O&amp;M) manuals for equipment systems, warranty information, and “as-built” drawings.  Close-out accounting processes include reconciling and closing-out of project accounts and funds, finalizing project capitalization, and preparing the </w:t>
      </w:r>
      <w:r w:rsidR="00153864">
        <w:t>C</w:t>
      </w:r>
      <w:r>
        <w:t xml:space="preserve">apital </w:t>
      </w:r>
      <w:r w:rsidR="00153864">
        <w:t>I</w:t>
      </w:r>
      <w:r>
        <w:t xml:space="preserve">mprovement </w:t>
      </w:r>
      <w:r w:rsidR="00153864">
        <w:t>B</w:t>
      </w:r>
      <w:r>
        <w:t>udget</w:t>
      </w:r>
      <w:r w:rsidR="00153864">
        <w:t xml:space="preserve"> </w:t>
      </w:r>
      <w:r>
        <w:t xml:space="preserve">(CIB).  Monitoring of the process is performed by the Construction </w:t>
      </w:r>
      <w:r w:rsidR="00450AF4">
        <w:t>Site Manager, Project Manager, F</w:t>
      </w:r>
      <w:r>
        <w:t>in</w:t>
      </w:r>
      <w:r w:rsidR="00450AF4">
        <w:t>ancial Services, and Contracts &amp; Records Management</w:t>
      </w:r>
      <w:r>
        <w:t xml:space="preserve"> through ongoing meetings with the general contractor; review of various project schedules and budget and expense reports; and effort coordination of the overall construction process with CP staff.  </w:t>
      </w:r>
    </w:p>
    <w:p w:rsidR="00BD7046" w:rsidRDefault="00BD7046">
      <w:pPr>
        <w:pStyle w:val="NoSpacing"/>
        <w:spacing w:line="360" w:lineRule="auto"/>
        <w:jc w:val="both"/>
      </w:pPr>
    </w:p>
    <w:p w:rsidR="00BD7046" w:rsidRDefault="009248E8">
      <w:pPr>
        <w:pStyle w:val="NoSpacing"/>
        <w:widowControl w:val="0"/>
        <w:spacing w:line="360" w:lineRule="auto"/>
        <w:jc w:val="both"/>
      </w:pPr>
      <w:r>
        <w:t>CP personnel prepare reports, schedules, and other relevant project close-out information using the following software applications:</w:t>
      </w:r>
      <w:r w:rsidR="005D3053">
        <w:t xml:space="preserve"> </w:t>
      </w:r>
      <w:r>
        <w:t xml:space="preserve"> CapSTAR (Capital Projects Status, Tracking and Reporting), a relational database management system designed for the tracking and accounting of major capital improvement projects; SharePoint, a business collaboration software that manages content for search and sharing on intranet and internet sites; Expedition, a contract management and project administration application; Primavera, a project portfolio management application; and Microsoft Excel.</w:t>
      </w:r>
    </w:p>
    <w:p w:rsidR="00BD7046" w:rsidRDefault="00BD7046">
      <w:pPr>
        <w:pStyle w:val="NoSpacing"/>
        <w:widowControl w:val="0"/>
        <w:spacing w:line="360" w:lineRule="auto"/>
        <w:jc w:val="both"/>
      </w:pPr>
    </w:p>
    <w:p w:rsidR="00BD7046" w:rsidRDefault="009248E8">
      <w:pPr>
        <w:pStyle w:val="NoSpacing"/>
        <w:widowControl w:val="0"/>
        <w:spacing w:line="360" w:lineRule="auto"/>
        <w:jc w:val="both"/>
      </w:pPr>
      <w:r>
        <w:t>The close-out phase can be defined as the period from when the project owner can occupy the structure for its intended use and completion of all contractual requirements, to the point when the contractor receives final payment</w:t>
      </w:r>
      <w:r w:rsidR="00984211">
        <w:t xml:space="preserve"> and release of retention</w:t>
      </w:r>
      <w:r w:rsidR="00450AF4">
        <w:t>.  As a result</w:t>
      </w:r>
      <w:r>
        <w:t xml:space="preserve">, project close-out is a sequence of tasks performed at the end of construction that prepares the project for final acceptance by the owner. </w:t>
      </w:r>
    </w:p>
    <w:p w:rsidR="00BD7046" w:rsidRDefault="00BD7046">
      <w:pPr>
        <w:pStyle w:val="NoSpacing"/>
        <w:widowControl w:val="0"/>
        <w:spacing w:line="360" w:lineRule="auto"/>
        <w:jc w:val="both"/>
      </w:pPr>
    </w:p>
    <w:p w:rsidR="00BD7046" w:rsidRDefault="00B6795E">
      <w:pPr>
        <w:pStyle w:val="NoSpacing"/>
        <w:widowControl w:val="0"/>
        <w:spacing w:line="360" w:lineRule="auto"/>
        <w:jc w:val="both"/>
      </w:pPr>
      <w:r>
        <w:t xml:space="preserve">The </w:t>
      </w:r>
      <w:r w:rsidR="009248E8">
        <w:t>CP</w:t>
      </w:r>
      <w:r>
        <w:t xml:space="preserve"> </w:t>
      </w:r>
      <w:r w:rsidR="009248E8">
        <w:t>“Design &amp; Construction Services” group and “Capital Planning &amp; Financial Services” group include staff that specializes in design, engineering, construction, and management services as well as project development, financial, contract</w:t>
      </w:r>
      <w:r w:rsidR="00011204">
        <w:t>,</w:t>
      </w:r>
      <w:r w:rsidR="009248E8">
        <w:t xml:space="preserve"> and records management services.  Each specialized area is overseen by a Director, and each group is headed by an Associate Vice Chancellor.</w:t>
      </w:r>
    </w:p>
    <w:p w:rsidR="00BD7046" w:rsidRDefault="00BD7046">
      <w:pPr>
        <w:spacing w:line="360" w:lineRule="auto"/>
        <w:jc w:val="both"/>
        <w:rPr>
          <w:rFonts w:ascii="Arial" w:hAnsi="Arial" w:cs="Arial"/>
        </w:rPr>
      </w:pPr>
    </w:p>
    <w:p w:rsidR="00BD7046" w:rsidRDefault="009248E8">
      <w:pPr>
        <w:spacing w:line="360" w:lineRule="auto"/>
        <w:rPr>
          <w:rFonts w:ascii="Arial" w:hAnsi="Arial" w:cs="Arial"/>
          <w:u w:val="single"/>
        </w:rPr>
      </w:pPr>
      <w:r>
        <w:rPr>
          <w:rFonts w:ascii="Arial" w:hAnsi="Arial" w:cs="Arial"/>
          <w:u w:val="single"/>
        </w:rPr>
        <w:t>Purpose and Scope</w:t>
      </w:r>
    </w:p>
    <w:p w:rsidR="00BD7046" w:rsidRDefault="00BD7046">
      <w:pPr>
        <w:spacing w:line="360" w:lineRule="auto"/>
        <w:jc w:val="both"/>
        <w:rPr>
          <w:rFonts w:ascii="Arial" w:hAnsi="Arial" w:cs="Arial"/>
        </w:rPr>
      </w:pPr>
    </w:p>
    <w:p w:rsidR="00BD7046" w:rsidRDefault="009248E8">
      <w:pPr>
        <w:spacing w:line="360" w:lineRule="auto"/>
        <w:jc w:val="both"/>
        <w:rPr>
          <w:rFonts w:ascii="Arial" w:hAnsi="Arial" w:cs="Arial"/>
        </w:rPr>
      </w:pPr>
      <w:r>
        <w:rPr>
          <w:rFonts w:ascii="Arial" w:hAnsi="Arial" w:cs="Arial"/>
        </w:rPr>
        <w:t xml:space="preserve">The primary purpose of the review was to </w:t>
      </w:r>
      <w:r w:rsidR="00EB7900">
        <w:rPr>
          <w:rFonts w:ascii="Arial" w:hAnsi="Arial" w:cs="Arial"/>
        </w:rPr>
        <w:t xml:space="preserve">ensure that internal controls and related systems and procedures surrounding project close-out are conducive to accomplishing Capital Programs’ business objectives. </w:t>
      </w:r>
      <w:r w:rsidR="000467C0">
        <w:rPr>
          <w:rFonts w:ascii="Arial" w:hAnsi="Arial" w:cs="Arial"/>
        </w:rPr>
        <w:t xml:space="preserve"> </w:t>
      </w:r>
      <w:r w:rsidR="00EB7900">
        <w:rPr>
          <w:rFonts w:ascii="Arial" w:hAnsi="Arial" w:cs="Arial"/>
        </w:rPr>
        <w:t>Where applicable, c</w:t>
      </w:r>
      <w:r>
        <w:rPr>
          <w:rFonts w:ascii="Arial" w:hAnsi="Arial" w:cs="Arial"/>
        </w:rPr>
        <w:t xml:space="preserve">ompliance with campus </w:t>
      </w:r>
      <w:r w:rsidR="00E329B4">
        <w:rPr>
          <w:rFonts w:ascii="Arial" w:hAnsi="Arial" w:cs="Arial"/>
        </w:rPr>
        <w:t>and University requirements</w:t>
      </w:r>
      <w:r>
        <w:rPr>
          <w:rFonts w:ascii="Arial" w:hAnsi="Arial" w:cs="Arial"/>
        </w:rPr>
        <w:t xml:space="preserve"> was also evaluated.  The scope of the audit focused on the following areas:</w:t>
      </w:r>
    </w:p>
    <w:p w:rsidR="00BD7046" w:rsidRDefault="00BD7046">
      <w:pPr>
        <w:spacing w:line="360" w:lineRule="auto"/>
        <w:jc w:val="both"/>
        <w:rPr>
          <w:rFonts w:ascii="Arial" w:hAnsi="Arial" w:cs="Arial"/>
        </w:rPr>
      </w:pPr>
    </w:p>
    <w:p w:rsidR="00BD7046" w:rsidRPr="006C658C" w:rsidRDefault="003A0D2B" w:rsidP="006C658C">
      <w:pPr>
        <w:pStyle w:val="ListParagraph"/>
        <w:numPr>
          <w:ilvl w:val="0"/>
          <w:numId w:val="10"/>
        </w:numPr>
        <w:overflowPunct w:val="0"/>
        <w:autoSpaceDE w:val="0"/>
        <w:spacing w:line="360" w:lineRule="auto"/>
        <w:ind w:left="540" w:hanging="540"/>
        <w:jc w:val="both"/>
        <w:rPr>
          <w:rFonts w:ascii="Arial" w:hAnsi="Arial" w:cs="Arial"/>
        </w:rPr>
      </w:pPr>
      <w:r w:rsidRPr="006C658C">
        <w:rPr>
          <w:rFonts w:ascii="Arial" w:hAnsi="Arial" w:cs="Arial"/>
        </w:rPr>
        <w:t>Timeliness of Project Close-Outs</w:t>
      </w:r>
    </w:p>
    <w:p w:rsidR="00BD7046" w:rsidRPr="006C658C" w:rsidRDefault="003A0D2B" w:rsidP="006C658C">
      <w:pPr>
        <w:pStyle w:val="ListParagraph"/>
        <w:numPr>
          <w:ilvl w:val="0"/>
          <w:numId w:val="10"/>
        </w:numPr>
        <w:overflowPunct w:val="0"/>
        <w:autoSpaceDE w:val="0"/>
        <w:spacing w:line="360" w:lineRule="auto"/>
        <w:ind w:left="540" w:hanging="540"/>
        <w:jc w:val="both"/>
        <w:rPr>
          <w:rFonts w:ascii="Arial" w:hAnsi="Arial" w:cs="Arial"/>
        </w:rPr>
      </w:pPr>
      <w:r w:rsidRPr="006C658C">
        <w:rPr>
          <w:rFonts w:ascii="Arial" w:hAnsi="Arial" w:cs="Arial"/>
        </w:rPr>
        <w:t>Required Documentation</w:t>
      </w:r>
    </w:p>
    <w:p w:rsidR="00BD7046" w:rsidRPr="003F4F7A" w:rsidRDefault="003A0D2B" w:rsidP="003F4F7A">
      <w:pPr>
        <w:pStyle w:val="ListParagraph"/>
        <w:numPr>
          <w:ilvl w:val="0"/>
          <w:numId w:val="10"/>
        </w:numPr>
        <w:overflowPunct w:val="0"/>
        <w:autoSpaceDE w:val="0"/>
        <w:spacing w:line="360" w:lineRule="auto"/>
        <w:ind w:left="540" w:hanging="540"/>
        <w:jc w:val="both"/>
        <w:rPr>
          <w:rFonts w:ascii="Arial" w:hAnsi="Arial" w:cs="Arial"/>
        </w:rPr>
      </w:pPr>
      <w:r w:rsidRPr="006C658C">
        <w:rPr>
          <w:rFonts w:ascii="Arial" w:hAnsi="Arial" w:cs="Arial"/>
        </w:rPr>
        <w:t>Training</w:t>
      </w:r>
    </w:p>
    <w:p w:rsidR="00311A7A" w:rsidRDefault="00311A7A" w:rsidP="00311A7A">
      <w:pPr>
        <w:spacing w:line="360" w:lineRule="auto"/>
        <w:jc w:val="both"/>
        <w:rPr>
          <w:rFonts w:ascii="Arial" w:hAnsi="Arial" w:cs="Arial"/>
        </w:rPr>
      </w:pPr>
      <w:r w:rsidRPr="006607FB">
        <w:rPr>
          <w:rFonts w:ascii="Arial" w:hAnsi="Arial" w:cs="Arial"/>
        </w:rPr>
        <w:t xml:space="preserve">The review was conducted in conformance with the </w:t>
      </w:r>
      <w:r w:rsidRPr="006607FB">
        <w:rPr>
          <w:rFonts w:ascii="Arial" w:hAnsi="Arial" w:cs="Arial"/>
          <w:i/>
        </w:rPr>
        <w:t>International Standards for the Professional Practice of Internal Auditing</w:t>
      </w:r>
      <w:r w:rsidRPr="006607FB">
        <w:rPr>
          <w:rFonts w:ascii="Arial" w:hAnsi="Arial" w:cs="Arial"/>
        </w:rPr>
        <w:t xml:space="preserve"> and included </w:t>
      </w:r>
      <w:r>
        <w:rPr>
          <w:rFonts w:ascii="Arial" w:hAnsi="Arial" w:cs="Arial"/>
        </w:rPr>
        <w:t xml:space="preserve">such </w:t>
      </w:r>
      <w:r w:rsidRPr="006607FB">
        <w:rPr>
          <w:rFonts w:ascii="Arial" w:hAnsi="Arial" w:cs="Arial"/>
        </w:rPr>
        <w:t>tests of records</w:t>
      </w:r>
      <w:r>
        <w:rPr>
          <w:rFonts w:ascii="Arial" w:hAnsi="Arial" w:cs="Arial"/>
        </w:rPr>
        <w:t>, interviews,</w:t>
      </w:r>
      <w:r w:rsidRPr="006607FB">
        <w:rPr>
          <w:rFonts w:ascii="Arial" w:hAnsi="Arial" w:cs="Arial"/>
        </w:rPr>
        <w:t xml:space="preserve"> and other auditing procedures considered necessary in achieving the audit purpose.</w:t>
      </w:r>
    </w:p>
    <w:p w:rsidR="00BD7046" w:rsidRDefault="00BD7046">
      <w:pPr>
        <w:rPr>
          <w:rFonts w:ascii="Arial" w:hAnsi="Arial" w:cs="Arial"/>
          <w:u w:val="single"/>
          <w:shd w:val="clear" w:color="auto" w:fill="C0C0C0"/>
        </w:rPr>
      </w:pPr>
    </w:p>
    <w:p w:rsidR="00BD7046" w:rsidRDefault="00BD7046">
      <w:pPr>
        <w:rPr>
          <w:rFonts w:ascii="Arial" w:hAnsi="Arial" w:cs="Arial"/>
          <w:u w:val="single"/>
          <w:shd w:val="clear" w:color="auto" w:fill="C0C0C0"/>
        </w:rPr>
      </w:pPr>
    </w:p>
    <w:p w:rsidR="00BD7046" w:rsidRPr="001214F6" w:rsidRDefault="001214F6">
      <w:pPr>
        <w:spacing w:line="360" w:lineRule="auto"/>
        <w:jc w:val="both"/>
        <w:rPr>
          <w:rFonts w:ascii="Arial" w:hAnsi="Arial" w:cs="Arial"/>
          <w:u w:val="single"/>
        </w:rPr>
      </w:pPr>
      <w:r w:rsidRPr="001214F6">
        <w:rPr>
          <w:rFonts w:ascii="Arial" w:hAnsi="Arial" w:cs="Arial"/>
          <w:u w:val="single"/>
        </w:rPr>
        <w:t>Summary Opinion</w:t>
      </w:r>
    </w:p>
    <w:p w:rsidR="008C69F7" w:rsidRDefault="008C69F7">
      <w:pPr>
        <w:spacing w:line="360" w:lineRule="auto"/>
        <w:jc w:val="both"/>
        <w:rPr>
          <w:rFonts w:ascii="Arial" w:hAnsi="Arial" w:cs="Arial"/>
        </w:rPr>
      </w:pPr>
    </w:p>
    <w:p w:rsidR="00F002E2" w:rsidRDefault="00F002E2" w:rsidP="00F002E2">
      <w:pPr>
        <w:spacing w:line="360" w:lineRule="auto"/>
        <w:jc w:val="both"/>
        <w:rPr>
          <w:rFonts w:ascii="Arial" w:hAnsi="Arial" w:cs="Arial"/>
        </w:rPr>
      </w:pPr>
      <w:r w:rsidRPr="00750842">
        <w:rPr>
          <w:rFonts w:ascii="Arial" w:hAnsi="Arial" w:cs="Arial"/>
        </w:rPr>
        <w:t xml:space="preserve">Based on the results of the work performed within the scope of the audit, </w:t>
      </w:r>
      <w:r>
        <w:rPr>
          <w:rFonts w:ascii="Arial" w:hAnsi="Arial" w:cs="Arial"/>
        </w:rPr>
        <w:t xml:space="preserve">CP’s organizational structure and controls are generally conducive to accomplishing its business objectives related to </w:t>
      </w:r>
      <w:r w:rsidR="00993337">
        <w:rPr>
          <w:rFonts w:ascii="Arial" w:hAnsi="Arial" w:cs="Arial"/>
        </w:rPr>
        <w:t>project close-out processes</w:t>
      </w:r>
      <w:r>
        <w:rPr>
          <w:rFonts w:ascii="Arial" w:hAnsi="Arial" w:cs="Arial"/>
        </w:rPr>
        <w:t>.  However, controls and business practices could be further strengthened by implementing the following:</w:t>
      </w:r>
    </w:p>
    <w:p w:rsidR="00F002E2" w:rsidRDefault="00F002E2" w:rsidP="00F002E2">
      <w:pPr>
        <w:spacing w:line="360" w:lineRule="auto"/>
        <w:jc w:val="both"/>
        <w:rPr>
          <w:rFonts w:ascii="Arial" w:hAnsi="Arial" w:cs="Arial"/>
        </w:rPr>
      </w:pPr>
    </w:p>
    <w:p w:rsidR="00F002E2" w:rsidRPr="001C52EC" w:rsidRDefault="00011204" w:rsidP="009B65D0">
      <w:pPr>
        <w:pStyle w:val="ListParagraph"/>
        <w:numPr>
          <w:ilvl w:val="0"/>
          <w:numId w:val="7"/>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Pr>
          <w:rFonts w:ascii="Arial" w:hAnsi="Arial" w:cs="Arial"/>
        </w:rPr>
        <w:t>F</w:t>
      </w:r>
      <w:r w:rsidR="001C52EC">
        <w:rPr>
          <w:rFonts w:ascii="Arial" w:hAnsi="Arial" w:cs="Arial"/>
        </w:rPr>
        <w:t>inal invoice payment information</w:t>
      </w:r>
      <w:r>
        <w:rPr>
          <w:rFonts w:ascii="Arial" w:hAnsi="Arial" w:cs="Arial"/>
        </w:rPr>
        <w:t xml:space="preserve"> for Builders Risk Insurance (BRI)</w:t>
      </w:r>
      <w:r w:rsidR="001C52EC">
        <w:rPr>
          <w:rFonts w:ascii="Arial" w:hAnsi="Arial" w:cs="Arial"/>
        </w:rPr>
        <w:t xml:space="preserve"> </w:t>
      </w:r>
      <w:r>
        <w:rPr>
          <w:rFonts w:ascii="Arial" w:hAnsi="Arial" w:cs="Arial"/>
        </w:rPr>
        <w:t>should be</w:t>
      </w:r>
      <w:r w:rsidR="001C52EC">
        <w:rPr>
          <w:rFonts w:ascii="Arial" w:hAnsi="Arial" w:cs="Arial"/>
        </w:rPr>
        <w:t xml:space="preserve"> obtained on a timely basis prior to the closing of a project’s plant account.</w:t>
      </w:r>
    </w:p>
    <w:p w:rsidR="00F002E2" w:rsidRPr="00BB75C0" w:rsidRDefault="00F002E2" w:rsidP="00F002E2">
      <w:pPr>
        <w:spacing w:line="360" w:lineRule="auto"/>
        <w:jc w:val="both"/>
        <w:rPr>
          <w:rFonts w:ascii="Arial" w:hAnsi="Arial" w:cs="Arial"/>
          <w:highlight w:val="lightGray"/>
        </w:rPr>
      </w:pPr>
    </w:p>
    <w:p w:rsidR="00F002E2" w:rsidRPr="003A2544" w:rsidRDefault="00450AF4" w:rsidP="009B65D0">
      <w:pPr>
        <w:pStyle w:val="ListParagraph"/>
        <w:numPr>
          <w:ilvl w:val="0"/>
          <w:numId w:val="7"/>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Pr>
          <w:rFonts w:ascii="Arial" w:hAnsi="Arial" w:cs="Arial"/>
        </w:rPr>
        <w:t>P</w:t>
      </w:r>
      <w:r w:rsidR="003A2544">
        <w:rPr>
          <w:rFonts w:ascii="Arial" w:hAnsi="Arial" w:cs="Arial"/>
        </w:rPr>
        <w:t xml:space="preserve">ost-completion capital improvement </w:t>
      </w:r>
      <w:r w:rsidR="003A2544" w:rsidRPr="0059258F">
        <w:rPr>
          <w:rFonts w:ascii="Arial" w:hAnsi="Arial" w:cs="Arial"/>
        </w:rPr>
        <w:t xml:space="preserve">budgets and </w:t>
      </w:r>
      <w:r>
        <w:rPr>
          <w:rFonts w:ascii="Arial" w:hAnsi="Arial" w:cs="Arial"/>
        </w:rPr>
        <w:t xml:space="preserve">close-out </w:t>
      </w:r>
      <w:r w:rsidR="003A2544" w:rsidRPr="0059258F">
        <w:rPr>
          <w:rFonts w:ascii="Arial" w:hAnsi="Arial" w:cs="Arial"/>
        </w:rPr>
        <w:t>letters</w:t>
      </w:r>
      <w:r>
        <w:rPr>
          <w:rFonts w:ascii="Arial" w:hAnsi="Arial" w:cs="Arial"/>
        </w:rPr>
        <w:t xml:space="preserve"> should be</w:t>
      </w:r>
      <w:r w:rsidR="003A2544">
        <w:rPr>
          <w:rFonts w:ascii="Arial" w:hAnsi="Arial" w:cs="Arial"/>
        </w:rPr>
        <w:t xml:space="preserve"> prepared on a timely basis.</w:t>
      </w:r>
    </w:p>
    <w:p w:rsidR="00F002E2" w:rsidRPr="00BB75C0" w:rsidRDefault="00F002E2" w:rsidP="00F002E2">
      <w:pPr>
        <w:spacing w:line="360" w:lineRule="auto"/>
        <w:jc w:val="both"/>
        <w:rPr>
          <w:rFonts w:ascii="Arial" w:hAnsi="Arial" w:cs="Arial"/>
          <w:highlight w:val="lightGray"/>
        </w:rPr>
      </w:pPr>
    </w:p>
    <w:p w:rsidR="00F002E2" w:rsidRPr="000C1831" w:rsidRDefault="00257AA5" w:rsidP="009B65D0">
      <w:pPr>
        <w:pStyle w:val="ListParagraph"/>
        <w:numPr>
          <w:ilvl w:val="0"/>
          <w:numId w:val="7"/>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Pr>
          <w:rFonts w:ascii="Arial" w:hAnsi="Arial" w:cs="Arial"/>
        </w:rPr>
        <w:t>Develop and implement a formal, standardized capital project close-out training program for all project managers</w:t>
      </w:r>
      <w:r w:rsidR="00450AF4">
        <w:rPr>
          <w:rFonts w:ascii="Arial" w:hAnsi="Arial" w:cs="Arial"/>
        </w:rPr>
        <w:t>.</w:t>
      </w:r>
    </w:p>
    <w:p w:rsidR="00F002E2" w:rsidRDefault="00F002E2" w:rsidP="00F002E2">
      <w:pPr>
        <w:spacing w:line="360" w:lineRule="auto"/>
        <w:jc w:val="both"/>
        <w:rPr>
          <w:rFonts w:ascii="Arial" w:hAnsi="Arial" w:cs="Arial"/>
        </w:rPr>
      </w:pPr>
    </w:p>
    <w:p w:rsidR="00F002E2" w:rsidRDefault="00F002E2" w:rsidP="00F002E2">
      <w:pPr>
        <w:spacing w:line="360" w:lineRule="auto"/>
        <w:jc w:val="both"/>
        <w:rPr>
          <w:rFonts w:ascii="Arial" w:hAnsi="Arial" w:cs="Arial"/>
        </w:rPr>
      </w:pPr>
      <w:r w:rsidRPr="00D105CF">
        <w:rPr>
          <w:rFonts w:ascii="Arial" w:hAnsi="Arial" w:cs="Arial"/>
        </w:rPr>
        <w:t xml:space="preserve">The audit results </w:t>
      </w:r>
      <w:r>
        <w:rPr>
          <w:rFonts w:ascii="Arial" w:hAnsi="Arial" w:cs="Arial"/>
        </w:rPr>
        <w:t xml:space="preserve">and corresponding recommendations </w:t>
      </w:r>
      <w:r w:rsidRPr="00D105CF">
        <w:rPr>
          <w:rFonts w:ascii="Arial" w:hAnsi="Arial" w:cs="Arial"/>
        </w:rPr>
        <w:t>are detailed in the following sections of th</w:t>
      </w:r>
      <w:r>
        <w:rPr>
          <w:rFonts w:ascii="Arial" w:hAnsi="Arial" w:cs="Arial"/>
        </w:rPr>
        <w:t>e</w:t>
      </w:r>
      <w:r w:rsidRPr="00D105CF">
        <w:rPr>
          <w:rFonts w:ascii="Arial" w:hAnsi="Arial" w:cs="Arial"/>
        </w:rPr>
        <w:t xml:space="preserve"> report.</w:t>
      </w:r>
    </w:p>
    <w:p w:rsidR="00BD7046" w:rsidRDefault="00BD7046">
      <w:pPr>
        <w:rPr>
          <w:rFonts w:ascii="Arial" w:hAnsi="Arial" w:cs="Arial"/>
          <w:shd w:val="clear" w:color="auto" w:fill="C0C0C0"/>
        </w:rPr>
      </w:pPr>
    </w:p>
    <w:p w:rsidR="00CC2577" w:rsidRDefault="00CC2577">
      <w:pPr>
        <w:rPr>
          <w:rFonts w:ascii="Arial" w:hAnsi="Arial" w:cs="Arial"/>
          <w:shd w:val="clear" w:color="auto" w:fill="C0C0C0"/>
        </w:rPr>
      </w:pPr>
    </w:p>
    <w:p w:rsidR="00BD7046" w:rsidRDefault="00BD7046">
      <w:pPr>
        <w:spacing w:line="360" w:lineRule="auto"/>
        <w:jc w:val="both"/>
        <w:rPr>
          <w:rFonts w:ascii="Arial" w:hAnsi="Arial" w:cs="Arial"/>
          <w:u w:val="single"/>
          <w:shd w:val="clear" w:color="auto" w:fill="C0C0C0"/>
        </w:rPr>
      </w:pPr>
    </w:p>
    <w:p w:rsidR="00CC2577" w:rsidRDefault="00CC2577">
      <w:pPr>
        <w:suppressAutoHyphens w:val="0"/>
        <w:rPr>
          <w:rFonts w:ascii="Arial" w:hAnsi="Arial" w:cs="Arial"/>
          <w:u w:val="single"/>
          <w:shd w:val="clear" w:color="auto" w:fill="C0C0C0"/>
        </w:rPr>
      </w:pPr>
      <w:r>
        <w:rPr>
          <w:rFonts w:ascii="Arial" w:hAnsi="Arial" w:cs="Arial"/>
          <w:u w:val="single"/>
          <w:shd w:val="clear" w:color="auto" w:fill="C0C0C0"/>
        </w:rPr>
        <w:br w:type="page"/>
      </w:r>
    </w:p>
    <w:p w:rsidR="00BD7046" w:rsidRDefault="009248E8">
      <w:pPr>
        <w:spacing w:line="360" w:lineRule="auto"/>
        <w:jc w:val="both"/>
        <w:rPr>
          <w:rFonts w:ascii="Arial" w:hAnsi="Arial" w:cs="Arial"/>
          <w:u w:val="single"/>
        </w:rPr>
      </w:pPr>
      <w:r>
        <w:rPr>
          <w:rFonts w:ascii="Arial" w:hAnsi="Arial" w:cs="Arial"/>
          <w:u w:val="single"/>
        </w:rPr>
        <w:t>Audit Results and Recommendations</w:t>
      </w:r>
    </w:p>
    <w:p w:rsidR="00BD7046" w:rsidRDefault="00BD7046">
      <w:pPr>
        <w:spacing w:line="360" w:lineRule="auto"/>
        <w:jc w:val="both"/>
        <w:rPr>
          <w:rFonts w:ascii="Arial" w:hAnsi="Arial" w:cs="Arial"/>
          <w:shd w:val="clear" w:color="auto" w:fill="C0C0C0"/>
        </w:rPr>
      </w:pPr>
    </w:p>
    <w:p w:rsidR="00B276E0" w:rsidRDefault="00B276E0" w:rsidP="00B276E0">
      <w:pPr>
        <w:pStyle w:val="NoSpacing"/>
        <w:jc w:val="center"/>
        <w:rPr>
          <w:u w:val="single"/>
        </w:rPr>
      </w:pPr>
      <w:r w:rsidRPr="001F4DF5">
        <w:rPr>
          <w:u w:val="single"/>
        </w:rPr>
        <w:t>Sample Selection</w:t>
      </w:r>
    </w:p>
    <w:p w:rsidR="00B276E0" w:rsidRDefault="00B276E0" w:rsidP="00B276E0">
      <w:pPr>
        <w:pStyle w:val="NoSpacing"/>
        <w:rPr>
          <w:u w:val="single"/>
        </w:rPr>
      </w:pPr>
    </w:p>
    <w:p w:rsidR="00B276E0" w:rsidRDefault="00B276E0" w:rsidP="00B276E0">
      <w:pPr>
        <w:pStyle w:val="normalweb0"/>
        <w:spacing w:line="360" w:lineRule="auto"/>
        <w:jc w:val="both"/>
        <w:rPr>
          <w:rStyle w:val="sbe40fc821"/>
        </w:rPr>
      </w:pPr>
      <w:r w:rsidRPr="005922D0">
        <w:rPr>
          <w:rStyle w:val="sbe40fc821"/>
        </w:rPr>
        <w:t>A judgmental sample of six recently closed-out capital projects administered by CP</w:t>
      </w:r>
      <w:r w:rsidR="0059590E">
        <w:rPr>
          <w:rStyle w:val="sbe40fc821"/>
        </w:rPr>
        <w:t xml:space="preserve"> </w:t>
      </w:r>
      <w:r w:rsidRPr="005922D0">
        <w:rPr>
          <w:rStyle w:val="sbe40fc821"/>
        </w:rPr>
        <w:t>project manager</w:t>
      </w:r>
      <w:r>
        <w:rPr>
          <w:rStyle w:val="sbe40fc821"/>
        </w:rPr>
        <w:t>s</w:t>
      </w:r>
      <w:r w:rsidRPr="005922D0">
        <w:rPr>
          <w:rStyle w:val="sbe40fc821"/>
        </w:rPr>
        <w:t xml:space="preserve"> was selected for testing. </w:t>
      </w:r>
      <w:r w:rsidR="000936CA">
        <w:rPr>
          <w:rStyle w:val="sbe40fc821"/>
        </w:rPr>
        <w:t xml:space="preserve"> </w:t>
      </w:r>
      <w:r w:rsidR="00B21A9A">
        <w:rPr>
          <w:rStyle w:val="sbe40fc821"/>
        </w:rPr>
        <w:t>C</w:t>
      </w:r>
      <w:r>
        <w:rPr>
          <w:rStyle w:val="sbe40fc821"/>
        </w:rPr>
        <w:t xml:space="preserve">apital projects usually have a build life of approximately three to five years. </w:t>
      </w:r>
      <w:r w:rsidR="000936CA">
        <w:rPr>
          <w:rStyle w:val="sbe40fc821"/>
        </w:rPr>
        <w:t xml:space="preserve"> </w:t>
      </w:r>
      <w:r w:rsidRPr="005922D0">
        <w:rPr>
          <w:rStyle w:val="sbe40fc821"/>
        </w:rPr>
        <w:t xml:space="preserve">Within the six sample projects, three have an expenditure range </w:t>
      </w:r>
      <w:r w:rsidR="00B21A9A">
        <w:rPr>
          <w:rStyle w:val="sbe40fc821"/>
        </w:rPr>
        <w:t xml:space="preserve">of </w:t>
      </w:r>
      <w:r w:rsidRPr="005922D0">
        <w:rPr>
          <w:rStyle w:val="sbe40fc821"/>
        </w:rPr>
        <w:t xml:space="preserve">$3.5 million to $10.9 million, and three have an expenditure range </w:t>
      </w:r>
      <w:r w:rsidR="00B21A9A">
        <w:rPr>
          <w:rStyle w:val="sbe40fc821"/>
        </w:rPr>
        <w:t xml:space="preserve">of </w:t>
      </w:r>
      <w:r w:rsidRPr="005922D0">
        <w:rPr>
          <w:rStyle w:val="sbe40fc821"/>
        </w:rPr>
        <w:t>$34.8 million to $316 million</w:t>
      </w:r>
      <w:r w:rsidR="00CC33FE">
        <w:rPr>
          <w:rStyle w:val="sbe40fc821"/>
        </w:rPr>
        <w:t xml:space="preserve"> (see table below)</w:t>
      </w:r>
      <w:r w:rsidR="00B21A9A">
        <w:rPr>
          <w:rStyle w:val="sbe40fc821"/>
        </w:rPr>
        <w:t>.  T</w:t>
      </w:r>
      <w:r w:rsidR="0059258F">
        <w:rPr>
          <w:rStyle w:val="sbe40fc821"/>
        </w:rPr>
        <w:t>he latter three</w:t>
      </w:r>
      <w:r w:rsidRPr="005922D0">
        <w:rPr>
          <w:rStyle w:val="sbe40fc821"/>
        </w:rPr>
        <w:t xml:space="preserve"> projects were </w:t>
      </w:r>
      <w:r w:rsidR="00B21A9A">
        <w:rPr>
          <w:rStyle w:val="sbe40fc821"/>
        </w:rPr>
        <w:t xml:space="preserve">selected </w:t>
      </w:r>
      <w:r w:rsidR="0059258F">
        <w:rPr>
          <w:rStyle w:val="sbe40fc821"/>
        </w:rPr>
        <w:t>to</w:t>
      </w:r>
      <w:r w:rsidRPr="005922D0">
        <w:rPr>
          <w:rStyle w:val="sbe40fc821"/>
        </w:rPr>
        <w:t xml:space="preserve"> </w:t>
      </w:r>
      <w:r w:rsidR="00456EAD">
        <w:rPr>
          <w:rStyle w:val="sbe40fc821"/>
        </w:rPr>
        <w:t>review</w:t>
      </w:r>
      <w:r w:rsidRPr="005922D0">
        <w:rPr>
          <w:rStyle w:val="sbe40fc821"/>
        </w:rPr>
        <w:t xml:space="preserve"> the University Controlled Insurance Program (UCIP)</w:t>
      </w:r>
      <w:r>
        <w:rPr>
          <w:rStyle w:val="sbe40fc821"/>
        </w:rPr>
        <w:t xml:space="preserve">. </w:t>
      </w:r>
      <w:r w:rsidR="000936CA">
        <w:rPr>
          <w:rStyle w:val="sbe40fc821"/>
        </w:rPr>
        <w:t xml:space="preserve"> </w:t>
      </w:r>
      <w:r w:rsidR="00CC33FE">
        <w:rPr>
          <w:rStyle w:val="sbe40fc821"/>
        </w:rPr>
        <w:t xml:space="preserve">A discussion of UCIP is presented later in this report. </w:t>
      </w:r>
    </w:p>
    <w:p w:rsidR="00BE260E" w:rsidRDefault="00BE260E" w:rsidP="00B276E0">
      <w:pPr>
        <w:pStyle w:val="normalweb0"/>
        <w:spacing w:line="360" w:lineRule="auto"/>
        <w:jc w:val="both"/>
        <w:rPr>
          <w:rStyle w:val="sbe40fc821"/>
        </w:rPr>
      </w:pPr>
    </w:p>
    <w:tbl>
      <w:tblPr>
        <w:tblW w:w="9375" w:type="dxa"/>
        <w:tblInd w:w="93" w:type="dxa"/>
        <w:tblLook w:val="04A0" w:firstRow="1" w:lastRow="0" w:firstColumn="1" w:lastColumn="0" w:noHBand="0" w:noVBand="1"/>
      </w:tblPr>
      <w:tblGrid>
        <w:gridCol w:w="2040"/>
        <w:gridCol w:w="4905"/>
        <w:gridCol w:w="2430"/>
      </w:tblGrid>
      <w:tr w:rsidR="00B276E0" w:rsidRPr="001B3919" w:rsidTr="009B65D0">
        <w:trPr>
          <w:trHeight w:val="411"/>
        </w:trPr>
        <w:tc>
          <w:tcPr>
            <w:tcW w:w="2040"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rsidR="00B276E0" w:rsidRPr="003F4F7A" w:rsidRDefault="00B276E0" w:rsidP="009B65D0">
            <w:pPr>
              <w:jc w:val="center"/>
              <w:rPr>
                <w:rFonts w:ascii="Arial" w:hAnsi="Arial" w:cs="Arial"/>
                <w:b/>
              </w:rPr>
            </w:pPr>
            <w:r w:rsidRPr="003F4F7A">
              <w:rPr>
                <w:rFonts w:ascii="Arial" w:hAnsi="Arial" w:cs="Arial"/>
                <w:b/>
              </w:rPr>
              <w:t>Project Number</w:t>
            </w:r>
          </w:p>
        </w:tc>
        <w:tc>
          <w:tcPr>
            <w:tcW w:w="4905"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rsidR="00B276E0" w:rsidRPr="003F4F7A" w:rsidRDefault="00643D32" w:rsidP="009B65D0">
            <w:pPr>
              <w:jc w:val="center"/>
              <w:rPr>
                <w:rFonts w:ascii="Arial" w:hAnsi="Arial" w:cs="Arial"/>
                <w:b/>
              </w:rPr>
            </w:pPr>
            <w:r>
              <w:rPr>
                <w:rFonts w:ascii="Arial" w:hAnsi="Arial" w:cs="Arial"/>
                <w:b/>
              </w:rPr>
              <w:t xml:space="preserve">Project </w:t>
            </w:r>
            <w:r w:rsidR="00B276E0" w:rsidRPr="003F4F7A">
              <w:rPr>
                <w:rFonts w:ascii="Arial" w:hAnsi="Arial" w:cs="Arial"/>
                <w:b/>
              </w:rPr>
              <w:t>Name</w:t>
            </w:r>
          </w:p>
        </w:tc>
        <w:tc>
          <w:tcPr>
            <w:tcW w:w="2430"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rsidR="00B276E0" w:rsidRPr="003F4F7A" w:rsidRDefault="00B276E0" w:rsidP="009B65D0">
            <w:pPr>
              <w:jc w:val="center"/>
              <w:rPr>
                <w:rFonts w:ascii="Arial" w:hAnsi="Arial" w:cs="Arial"/>
                <w:b/>
              </w:rPr>
            </w:pPr>
            <w:r w:rsidRPr="003F4F7A">
              <w:rPr>
                <w:rFonts w:ascii="Arial" w:hAnsi="Arial" w:cs="Arial"/>
                <w:b/>
              </w:rPr>
              <w:t>Expenditure</w:t>
            </w:r>
          </w:p>
        </w:tc>
      </w:tr>
      <w:tr w:rsidR="00B276E0" w:rsidRPr="001B3919" w:rsidTr="00FA6FFF">
        <w:trPr>
          <w:trHeight w:val="627"/>
        </w:trPr>
        <w:tc>
          <w:tcPr>
            <w:tcW w:w="2040" w:type="dxa"/>
            <w:tcBorders>
              <w:top w:val="double" w:sz="4" w:space="0" w:color="auto"/>
              <w:left w:val="single" w:sz="4" w:space="0" w:color="auto"/>
              <w:bottom w:val="single" w:sz="4" w:space="0" w:color="auto"/>
              <w:right w:val="nil"/>
            </w:tcBorders>
            <w:shd w:val="clear" w:color="auto" w:fill="auto"/>
            <w:noWrap/>
            <w:vAlign w:val="center"/>
            <w:hideMark/>
          </w:tcPr>
          <w:p w:rsidR="00B276E0" w:rsidRPr="003F4F7A" w:rsidRDefault="00B276E0" w:rsidP="009B65D0">
            <w:pPr>
              <w:jc w:val="center"/>
              <w:rPr>
                <w:rFonts w:ascii="Arial" w:hAnsi="Arial" w:cs="Arial"/>
              </w:rPr>
            </w:pPr>
            <w:r w:rsidRPr="003F4F7A">
              <w:rPr>
                <w:rFonts w:ascii="Arial" w:hAnsi="Arial" w:cs="Arial"/>
              </w:rPr>
              <w:t>945880</w:t>
            </w:r>
          </w:p>
        </w:tc>
        <w:tc>
          <w:tcPr>
            <w:tcW w:w="4905" w:type="dxa"/>
            <w:tcBorders>
              <w:top w:val="double" w:sz="4" w:space="0" w:color="auto"/>
              <w:left w:val="single" w:sz="4" w:space="0" w:color="auto"/>
              <w:bottom w:val="single" w:sz="4" w:space="0" w:color="auto"/>
              <w:right w:val="nil"/>
            </w:tcBorders>
            <w:shd w:val="clear" w:color="auto" w:fill="auto"/>
            <w:noWrap/>
            <w:vAlign w:val="center"/>
            <w:hideMark/>
          </w:tcPr>
          <w:p w:rsidR="00B276E0" w:rsidRPr="003F4F7A" w:rsidRDefault="00B276E0" w:rsidP="009B65D0">
            <w:pPr>
              <w:jc w:val="center"/>
              <w:rPr>
                <w:rFonts w:ascii="Arial" w:hAnsi="Arial" w:cs="Arial"/>
              </w:rPr>
            </w:pPr>
            <w:r w:rsidRPr="003F4F7A">
              <w:rPr>
                <w:rFonts w:ascii="Arial" w:hAnsi="Arial" w:cs="Arial"/>
              </w:rPr>
              <w:t>Santa Monica/Orthopedic Replacement Hospital</w:t>
            </w:r>
          </w:p>
        </w:tc>
        <w:tc>
          <w:tcPr>
            <w:tcW w:w="243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B276E0" w:rsidRPr="003F4F7A" w:rsidRDefault="001B3919" w:rsidP="00FA6FFF">
            <w:pPr>
              <w:jc w:val="right"/>
              <w:rPr>
                <w:rFonts w:ascii="Arial" w:hAnsi="Arial" w:cs="Arial"/>
              </w:rPr>
            </w:pPr>
            <w:r>
              <w:rPr>
                <w:rFonts w:ascii="Arial" w:hAnsi="Arial" w:cs="Arial"/>
              </w:rPr>
              <w:t>$</w:t>
            </w:r>
            <w:r w:rsidR="00B276E0" w:rsidRPr="003F4F7A">
              <w:rPr>
                <w:rFonts w:ascii="Arial" w:hAnsi="Arial" w:cs="Arial"/>
              </w:rPr>
              <w:t>316,350,310</w:t>
            </w:r>
          </w:p>
        </w:tc>
      </w:tr>
      <w:tr w:rsidR="00B276E0" w:rsidRPr="001B3919" w:rsidTr="00FA6FFF">
        <w:trPr>
          <w:trHeight w:val="440"/>
        </w:trPr>
        <w:tc>
          <w:tcPr>
            <w:tcW w:w="2040" w:type="dxa"/>
            <w:tcBorders>
              <w:top w:val="nil"/>
              <w:left w:val="single" w:sz="4" w:space="0" w:color="auto"/>
              <w:bottom w:val="single" w:sz="4" w:space="0" w:color="auto"/>
              <w:right w:val="nil"/>
            </w:tcBorders>
            <w:shd w:val="clear" w:color="auto" w:fill="auto"/>
            <w:noWrap/>
            <w:vAlign w:val="center"/>
            <w:hideMark/>
          </w:tcPr>
          <w:p w:rsidR="00B276E0" w:rsidRPr="003F4F7A" w:rsidRDefault="00B276E0" w:rsidP="009B65D0">
            <w:pPr>
              <w:jc w:val="center"/>
              <w:rPr>
                <w:rFonts w:ascii="Arial" w:hAnsi="Arial" w:cs="Arial"/>
              </w:rPr>
            </w:pPr>
            <w:r w:rsidRPr="003F4F7A">
              <w:rPr>
                <w:rFonts w:ascii="Arial" w:hAnsi="Arial" w:cs="Arial"/>
              </w:rPr>
              <w:t>948272</w:t>
            </w:r>
          </w:p>
        </w:tc>
        <w:tc>
          <w:tcPr>
            <w:tcW w:w="4905" w:type="dxa"/>
            <w:tcBorders>
              <w:top w:val="nil"/>
              <w:left w:val="single" w:sz="4" w:space="0" w:color="auto"/>
              <w:bottom w:val="single" w:sz="4" w:space="0" w:color="auto"/>
              <w:right w:val="nil"/>
            </w:tcBorders>
            <w:shd w:val="clear" w:color="auto" w:fill="auto"/>
            <w:noWrap/>
            <w:vAlign w:val="center"/>
            <w:hideMark/>
          </w:tcPr>
          <w:p w:rsidR="00B276E0" w:rsidRPr="003F4F7A" w:rsidRDefault="00B276E0" w:rsidP="009B65D0">
            <w:pPr>
              <w:jc w:val="center"/>
              <w:rPr>
                <w:rFonts w:ascii="Arial" w:hAnsi="Arial" w:cs="Arial"/>
              </w:rPr>
            </w:pPr>
            <w:r w:rsidRPr="003F4F7A">
              <w:rPr>
                <w:rFonts w:ascii="Arial" w:hAnsi="Arial" w:cs="Arial"/>
              </w:rPr>
              <w:t>Pauley Pavilion Renovation &amp; Expansion</w:t>
            </w:r>
          </w:p>
        </w:tc>
        <w:tc>
          <w:tcPr>
            <w:tcW w:w="2430" w:type="dxa"/>
            <w:tcBorders>
              <w:top w:val="nil"/>
              <w:left w:val="single" w:sz="4" w:space="0" w:color="auto"/>
              <w:bottom w:val="single" w:sz="4" w:space="0" w:color="auto"/>
              <w:right w:val="single" w:sz="4" w:space="0" w:color="auto"/>
            </w:tcBorders>
            <w:shd w:val="clear" w:color="auto" w:fill="auto"/>
            <w:noWrap/>
            <w:vAlign w:val="center"/>
            <w:hideMark/>
          </w:tcPr>
          <w:p w:rsidR="00B276E0" w:rsidRPr="003F4F7A" w:rsidRDefault="00CB4C35" w:rsidP="00FA6FFF">
            <w:pPr>
              <w:jc w:val="right"/>
              <w:rPr>
                <w:rFonts w:ascii="Arial" w:hAnsi="Arial" w:cs="Arial"/>
              </w:rPr>
            </w:pPr>
            <w:r>
              <w:rPr>
                <w:rFonts w:ascii="Arial" w:hAnsi="Arial" w:cs="Arial"/>
              </w:rPr>
              <w:t>$</w:t>
            </w:r>
            <w:r w:rsidR="00B276E0" w:rsidRPr="003F4F7A">
              <w:rPr>
                <w:rFonts w:ascii="Arial" w:hAnsi="Arial" w:cs="Arial"/>
              </w:rPr>
              <w:t>122,805,491</w:t>
            </w:r>
          </w:p>
        </w:tc>
      </w:tr>
      <w:tr w:rsidR="00B276E0" w:rsidRPr="001B3919" w:rsidTr="00FA6FFF">
        <w:trPr>
          <w:trHeight w:val="431"/>
        </w:trPr>
        <w:tc>
          <w:tcPr>
            <w:tcW w:w="2040" w:type="dxa"/>
            <w:tcBorders>
              <w:top w:val="nil"/>
              <w:left w:val="single" w:sz="4" w:space="0" w:color="auto"/>
              <w:bottom w:val="single" w:sz="4" w:space="0" w:color="auto"/>
              <w:right w:val="nil"/>
            </w:tcBorders>
            <w:shd w:val="clear" w:color="auto" w:fill="auto"/>
            <w:noWrap/>
            <w:vAlign w:val="center"/>
            <w:hideMark/>
          </w:tcPr>
          <w:p w:rsidR="00B276E0" w:rsidRPr="003F4F7A" w:rsidRDefault="00B276E0" w:rsidP="009B65D0">
            <w:pPr>
              <w:jc w:val="center"/>
              <w:rPr>
                <w:rFonts w:ascii="Arial" w:hAnsi="Arial" w:cs="Arial"/>
              </w:rPr>
            </w:pPr>
            <w:r w:rsidRPr="003F4F7A">
              <w:rPr>
                <w:rFonts w:ascii="Arial" w:hAnsi="Arial" w:cs="Arial"/>
              </w:rPr>
              <w:t>946770</w:t>
            </w:r>
          </w:p>
        </w:tc>
        <w:tc>
          <w:tcPr>
            <w:tcW w:w="4905" w:type="dxa"/>
            <w:tcBorders>
              <w:top w:val="nil"/>
              <w:left w:val="single" w:sz="4" w:space="0" w:color="auto"/>
              <w:bottom w:val="single" w:sz="4" w:space="0" w:color="auto"/>
              <w:right w:val="nil"/>
            </w:tcBorders>
            <w:shd w:val="clear" w:color="auto" w:fill="auto"/>
            <w:noWrap/>
            <w:vAlign w:val="center"/>
            <w:hideMark/>
          </w:tcPr>
          <w:p w:rsidR="00B276E0" w:rsidRPr="003F4F7A" w:rsidRDefault="00B276E0" w:rsidP="009B65D0">
            <w:pPr>
              <w:jc w:val="center"/>
              <w:rPr>
                <w:rFonts w:ascii="Arial" w:hAnsi="Arial" w:cs="Arial"/>
              </w:rPr>
            </w:pPr>
            <w:r w:rsidRPr="003F4F7A">
              <w:rPr>
                <w:rFonts w:ascii="Arial" w:hAnsi="Arial" w:cs="Arial"/>
              </w:rPr>
              <w:t>Intr</w:t>
            </w:r>
            <w:r w:rsidR="0013310C">
              <w:rPr>
                <w:rFonts w:ascii="Arial" w:hAnsi="Arial" w:cs="Arial"/>
              </w:rPr>
              <w:t>a</w:t>
            </w:r>
            <w:r w:rsidRPr="003F4F7A">
              <w:rPr>
                <w:rFonts w:ascii="Arial" w:hAnsi="Arial" w:cs="Arial"/>
              </w:rPr>
              <w:t>mural Field Parking Structure</w:t>
            </w:r>
          </w:p>
        </w:tc>
        <w:tc>
          <w:tcPr>
            <w:tcW w:w="2430" w:type="dxa"/>
            <w:tcBorders>
              <w:top w:val="nil"/>
              <w:left w:val="single" w:sz="4" w:space="0" w:color="auto"/>
              <w:bottom w:val="single" w:sz="4" w:space="0" w:color="auto"/>
              <w:right w:val="single" w:sz="4" w:space="0" w:color="auto"/>
            </w:tcBorders>
            <w:shd w:val="clear" w:color="auto" w:fill="auto"/>
            <w:noWrap/>
            <w:vAlign w:val="center"/>
            <w:hideMark/>
          </w:tcPr>
          <w:p w:rsidR="00B276E0" w:rsidRPr="003F4F7A" w:rsidRDefault="00CB4C35" w:rsidP="00FA6FFF">
            <w:pPr>
              <w:jc w:val="right"/>
              <w:rPr>
                <w:rFonts w:ascii="Arial" w:hAnsi="Arial" w:cs="Arial"/>
              </w:rPr>
            </w:pPr>
            <w:r>
              <w:rPr>
                <w:rFonts w:ascii="Arial" w:hAnsi="Arial" w:cs="Arial"/>
              </w:rPr>
              <w:t>$</w:t>
            </w:r>
            <w:r w:rsidR="00B276E0" w:rsidRPr="003F4F7A">
              <w:rPr>
                <w:rFonts w:ascii="Arial" w:hAnsi="Arial" w:cs="Arial"/>
              </w:rPr>
              <w:t>34,832,579</w:t>
            </w:r>
          </w:p>
        </w:tc>
      </w:tr>
      <w:tr w:rsidR="00B276E0" w:rsidRPr="001B3919" w:rsidTr="00FA6FFF">
        <w:trPr>
          <w:trHeight w:val="620"/>
        </w:trPr>
        <w:tc>
          <w:tcPr>
            <w:tcW w:w="2040" w:type="dxa"/>
            <w:tcBorders>
              <w:top w:val="nil"/>
              <w:left w:val="single" w:sz="4" w:space="0" w:color="auto"/>
              <w:bottom w:val="single" w:sz="4" w:space="0" w:color="auto"/>
              <w:right w:val="nil"/>
            </w:tcBorders>
            <w:shd w:val="clear" w:color="auto" w:fill="auto"/>
            <w:noWrap/>
            <w:vAlign w:val="center"/>
            <w:hideMark/>
          </w:tcPr>
          <w:p w:rsidR="00B276E0" w:rsidRPr="003F4F7A" w:rsidRDefault="00B276E0" w:rsidP="009B65D0">
            <w:pPr>
              <w:jc w:val="center"/>
              <w:rPr>
                <w:rFonts w:ascii="Arial" w:hAnsi="Arial" w:cs="Arial"/>
              </w:rPr>
            </w:pPr>
            <w:r w:rsidRPr="003F4F7A">
              <w:rPr>
                <w:rFonts w:ascii="Arial" w:hAnsi="Arial" w:cs="Arial"/>
              </w:rPr>
              <w:t>943930</w:t>
            </w:r>
          </w:p>
        </w:tc>
        <w:tc>
          <w:tcPr>
            <w:tcW w:w="4905" w:type="dxa"/>
            <w:tcBorders>
              <w:top w:val="nil"/>
              <w:left w:val="single" w:sz="4" w:space="0" w:color="auto"/>
              <w:bottom w:val="single" w:sz="4" w:space="0" w:color="auto"/>
              <w:right w:val="nil"/>
            </w:tcBorders>
            <w:shd w:val="clear" w:color="auto" w:fill="auto"/>
            <w:noWrap/>
            <w:vAlign w:val="center"/>
            <w:hideMark/>
          </w:tcPr>
          <w:p w:rsidR="00B276E0" w:rsidRPr="003F4F7A" w:rsidRDefault="00B276E0" w:rsidP="009B65D0">
            <w:pPr>
              <w:jc w:val="center"/>
              <w:rPr>
                <w:rFonts w:ascii="Arial" w:hAnsi="Arial" w:cs="Arial"/>
              </w:rPr>
            </w:pPr>
            <w:r w:rsidRPr="003F4F7A">
              <w:rPr>
                <w:rFonts w:ascii="Arial" w:hAnsi="Arial" w:cs="Arial"/>
              </w:rPr>
              <w:t>Wilshire Center Exterior Repairs and Refurbishment</w:t>
            </w:r>
          </w:p>
        </w:tc>
        <w:tc>
          <w:tcPr>
            <w:tcW w:w="2430" w:type="dxa"/>
            <w:tcBorders>
              <w:top w:val="nil"/>
              <w:left w:val="single" w:sz="4" w:space="0" w:color="auto"/>
              <w:bottom w:val="single" w:sz="4" w:space="0" w:color="auto"/>
              <w:right w:val="single" w:sz="4" w:space="0" w:color="auto"/>
            </w:tcBorders>
            <w:shd w:val="clear" w:color="auto" w:fill="auto"/>
            <w:noWrap/>
            <w:vAlign w:val="center"/>
            <w:hideMark/>
          </w:tcPr>
          <w:p w:rsidR="00B276E0" w:rsidRPr="003F4F7A" w:rsidRDefault="00CB4C35" w:rsidP="00FA6FFF">
            <w:pPr>
              <w:jc w:val="right"/>
              <w:rPr>
                <w:rFonts w:ascii="Arial" w:hAnsi="Arial" w:cs="Arial"/>
              </w:rPr>
            </w:pPr>
            <w:r>
              <w:rPr>
                <w:rFonts w:ascii="Arial" w:hAnsi="Arial" w:cs="Arial"/>
              </w:rPr>
              <w:t>$</w:t>
            </w:r>
            <w:r w:rsidR="00B276E0" w:rsidRPr="003F4F7A">
              <w:rPr>
                <w:rFonts w:ascii="Arial" w:hAnsi="Arial" w:cs="Arial"/>
              </w:rPr>
              <w:t>10,973,940</w:t>
            </w:r>
          </w:p>
        </w:tc>
      </w:tr>
      <w:tr w:rsidR="00B276E0" w:rsidRPr="001B3919" w:rsidTr="00FA6FFF">
        <w:trPr>
          <w:trHeight w:val="431"/>
        </w:trPr>
        <w:tc>
          <w:tcPr>
            <w:tcW w:w="2040" w:type="dxa"/>
            <w:tcBorders>
              <w:top w:val="nil"/>
              <w:left w:val="single" w:sz="4" w:space="0" w:color="auto"/>
              <w:bottom w:val="single" w:sz="4" w:space="0" w:color="auto"/>
              <w:right w:val="nil"/>
            </w:tcBorders>
            <w:shd w:val="clear" w:color="auto" w:fill="auto"/>
            <w:noWrap/>
            <w:vAlign w:val="center"/>
            <w:hideMark/>
          </w:tcPr>
          <w:p w:rsidR="00B276E0" w:rsidRPr="003F4F7A" w:rsidRDefault="00B276E0" w:rsidP="009B65D0">
            <w:pPr>
              <w:jc w:val="center"/>
              <w:rPr>
                <w:rFonts w:ascii="Arial" w:hAnsi="Arial" w:cs="Arial"/>
              </w:rPr>
            </w:pPr>
            <w:r w:rsidRPr="003F4F7A">
              <w:rPr>
                <w:rFonts w:ascii="Arial" w:hAnsi="Arial" w:cs="Arial"/>
              </w:rPr>
              <w:t>945997</w:t>
            </w:r>
          </w:p>
        </w:tc>
        <w:tc>
          <w:tcPr>
            <w:tcW w:w="4905" w:type="dxa"/>
            <w:tcBorders>
              <w:top w:val="nil"/>
              <w:left w:val="single" w:sz="4" w:space="0" w:color="auto"/>
              <w:bottom w:val="single" w:sz="4" w:space="0" w:color="auto"/>
              <w:right w:val="nil"/>
            </w:tcBorders>
            <w:shd w:val="clear" w:color="auto" w:fill="auto"/>
            <w:noWrap/>
            <w:vAlign w:val="center"/>
            <w:hideMark/>
          </w:tcPr>
          <w:p w:rsidR="00B276E0" w:rsidRPr="003F4F7A" w:rsidRDefault="00B276E0" w:rsidP="009B65D0">
            <w:pPr>
              <w:jc w:val="center"/>
              <w:rPr>
                <w:rFonts w:ascii="Arial" w:hAnsi="Arial" w:cs="Arial"/>
              </w:rPr>
            </w:pPr>
            <w:r w:rsidRPr="003F4F7A">
              <w:rPr>
                <w:rFonts w:ascii="Arial" w:hAnsi="Arial" w:cs="Arial"/>
              </w:rPr>
              <w:t>Dentistry Oral Cancer Research Center</w:t>
            </w:r>
          </w:p>
        </w:tc>
        <w:tc>
          <w:tcPr>
            <w:tcW w:w="2430" w:type="dxa"/>
            <w:tcBorders>
              <w:top w:val="nil"/>
              <w:left w:val="single" w:sz="4" w:space="0" w:color="auto"/>
              <w:bottom w:val="single" w:sz="4" w:space="0" w:color="auto"/>
              <w:right w:val="single" w:sz="4" w:space="0" w:color="auto"/>
            </w:tcBorders>
            <w:shd w:val="clear" w:color="auto" w:fill="auto"/>
            <w:noWrap/>
            <w:vAlign w:val="center"/>
            <w:hideMark/>
          </w:tcPr>
          <w:p w:rsidR="00B276E0" w:rsidRPr="003F4F7A" w:rsidRDefault="00CB4C35" w:rsidP="00FA6FFF">
            <w:pPr>
              <w:jc w:val="right"/>
              <w:rPr>
                <w:rFonts w:ascii="Arial" w:hAnsi="Arial" w:cs="Arial"/>
              </w:rPr>
            </w:pPr>
            <w:r>
              <w:rPr>
                <w:rFonts w:ascii="Arial" w:hAnsi="Arial" w:cs="Arial"/>
              </w:rPr>
              <w:t>$</w:t>
            </w:r>
            <w:r w:rsidR="00B276E0" w:rsidRPr="003F4F7A">
              <w:rPr>
                <w:rFonts w:ascii="Arial" w:hAnsi="Arial" w:cs="Arial"/>
              </w:rPr>
              <w:t>3,855,955</w:t>
            </w:r>
          </w:p>
        </w:tc>
      </w:tr>
      <w:tr w:rsidR="00B276E0" w:rsidRPr="001B3919" w:rsidTr="00FA6FFF">
        <w:trPr>
          <w:trHeight w:val="449"/>
        </w:trPr>
        <w:tc>
          <w:tcPr>
            <w:tcW w:w="2040" w:type="dxa"/>
            <w:tcBorders>
              <w:top w:val="nil"/>
              <w:left w:val="single" w:sz="4" w:space="0" w:color="auto"/>
              <w:bottom w:val="single" w:sz="4" w:space="0" w:color="auto"/>
              <w:right w:val="nil"/>
            </w:tcBorders>
            <w:shd w:val="clear" w:color="auto" w:fill="auto"/>
            <w:noWrap/>
            <w:vAlign w:val="center"/>
            <w:hideMark/>
          </w:tcPr>
          <w:p w:rsidR="00B276E0" w:rsidRPr="003F4F7A" w:rsidRDefault="00B276E0" w:rsidP="009B65D0">
            <w:pPr>
              <w:jc w:val="center"/>
              <w:rPr>
                <w:rFonts w:ascii="Arial" w:hAnsi="Arial" w:cs="Arial"/>
              </w:rPr>
            </w:pPr>
            <w:r w:rsidRPr="003F4F7A">
              <w:rPr>
                <w:rFonts w:ascii="Arial" w:hAnsi="Arial" w:cs="Arial"/>
              </w:rPr>
              <w:t>945954</w:t>
            </w:r>
          </w:p>
        </w:tc>
        <w:tc>
          <w:tcPr>
            <w:tcW w:w="4905" w:type="dxa"/>
            <w:tcBorders>
              <w:top w:val="nil"/>
              <w:left w:val="single" w:sz="4" w:space="0" w:color="auto"/>
              <w:bottom w:val="single" w:sz="4" w:space="0" w:color="auto"/>
              <w:right w:val="nil"/>
            </w:tcBorders>
            <w:shd w:val="clear" w:color="auto" w:fill="auto"/>
            <w:noWrap/>
            <w:vAlign w:val="center"/>
            <w:hideMark/>
          </w:tcPr>
          <w:p w:rsidR="00B276E0" w:rsidRPr="003F4F7A" w:rsidRDefault="00B276E0" w:rsidP="009B65D0">
            <w:pPr>
              <w:jc w:val="center"/>
              <w:rPr>
                <w:rFonts w:ascii="Arial" w:hAnsi="Arial" w:cs="Arial"/>
              </w:rPr>
            </w:pPr>
            <w:r w:rsidRPr="003F4F7A">
              <w:rPr>
                <w:rFonts w:ascii="Arial" w:hAnsi="Arial" w:cs="Arial"/>
              </w:rPr>
              <w:t>Institute for Informatics Data Center</w:t>
            </w:r>
          </w:p>
        </w:tc>
        <w:tc>
          <w:tcPr>
            <w:tcW w:w="2430" w:type="dxa"/>
            <w:tcBorders>
              <w:top w:val="nil"/>
              <w:left w:val="single" w:sz="4" w:space="0" w:color="auto"/>
              <w:bottom w:val="single" w:sz="4" w:space="0" w:color="auto"/>
              <w:right w:val="single" w:sz="4" w:space="0" w:color="auto"/>
            </w:tcBorders>
            <w:shd w:val="clear" w:color="auto" w:fill="auto"/>
            <w:noWrap/>
            <w:vAlign w:val="center"/>
            <w:hideMark/>
          </w:tcPr>
          <w:p w:rsidR="00B276E0" w:rsidRPr="003F4F7A" w:rsidRDefault="00CB4C35" w:rsidP="00FA6FFF">
            <w:pPr>
              <w:jc w:val="right"/>
              <w:rPr>
                <w:rFonts w:ascii="Arial" w:hAnsi="Arial" w:cs="Arial"/>
              </w:rPr>
            </w:pPr>
            <w:r>
              <w:rPr>
                <w:rFonts w:ascii="Arial" w:hAnsi="Arial" w:cs="Arial"/>
              </w:rPr>
              <w:t>$</w:t>
            </w:r>
            <w:r w:rsidR="00B276E0" w:rsidRPr="003F4F7A">
              <w:rPr>
                <w:rFonts w:ascii="Arial" w:hAnsi="Arial" w:cs="Arial"/>
              </w:rPr>
              <w:t>3,516,215</w:t>
            </w:r>
          </w:p>
        </w:tc>
      </w:tr>
    </w:tbl>
    <w:p w:rsidR="00B276E0" w:rsidRDefault="00B276E0" w:rsidP="00B276E0">
      <w:pPr>
        <w:pStyle w:val="normalweb0"/>
        <w:spacing w:line="360" w:lineRule="auto"/>
        <w:jc w:val="both"/>
        <w:rPr>
          <w:rStyle w:val="sbe40fc821"/>
        </w:rPr>
      </w:pPr>
    </w:p>
    <w:p w:rsidR="00B276E0" w:rsidRPr="009E7CA7" w:rsidRDefault="00B276E0" w:rsidP="00B276E0">
      <w:pPr>
        <w:pStyle w:val="nospacing0"/>
        <w:spacing w:line="360" w:lineRule="auto"/>
        <w:jc w:val="center"/>
        <w:rPr>
          <w:u w:val="single"/>
        </w:rPr>
      </w:pPr>
      <w:r w:rsidRPr="009E7CA7">
        <w:rPr>
          <w:u w:val="single"/>
        </w:rPr>
        <w:t>Plant Account</w:t>
      </w:r>
    </w:p>
    <w:p w:rsidR="00B276E0" w:rsidRDefault="00B276E0" w:rsidP="00B276E0">
      <w:pPr>
        <w:pStyle w:val="nospacing0"/>
        <w:spacing w:line="360" w:lineRule="auto"/>
        <w:jc w:val="both"/>
      </w:pPr>
    </w:p>
    <w:p w:rsidR="00B276E0" w:rsidRPr="002F2577" w:rsidRDefault="00B276E0" w:rsidP="00B276E0">
      <w:pPr>
        <w:pStyle w:val="nospacing0"/>
        <w:spacing w:line="360" w:lineRule="auto"/>
        <w:jc w:val="both"/>
        <w:rPr>
          <w:rStyle w:val="s2cc9b3cb1"/>
          <w:rFonts w:ascii="Arial" w:hAnsi="Arial" w:cs="Arial"/>
          <w:sz w:val="24"/>
          <w:szCs w:val="24"/>
        </w:rPr>
      </w:pPr>
      <w:r w:rsidRPr="002F2577">
        <w:rPr>
          <w:rStyle w:val="s2cc9b3cb1"/>
          <w:rFonts w:ascii="Arial" w:hAnsi="Arial" w:cs="Arial"/>
          <w:sz w:val="24"/>
          <w:szCs w:val="24"/>
        </w:rPr>
        <w:t>Interviews were conducted with CP</w:t>
      </w:r>
      <w:r w:rsidR="00674788">
        <w:rPr>
          <w:rStyle w:val="s2cc9b3cb1"/>
          <w:rFonts w:ascii="Arial" w:hAnsi="Arial" w:cs="Arial"/>
          <w:sz w:val="24"/>
          <w:szCs w:val="24"/>
        </w:rPr>
        <w:t xml:space="preserve"> </w:t>
      </w:r>
      <w:r w:rsidRPr="002F2577">
        <w:rPr>
          <w:rStyle w:val="s2cc9b3cb1"/>
          <w:rFonts w:ascii="Arial" w:hAnsi="Arial" w:cs="Arial"/>
          <w:sz w:val="24"/>
          <w:szCs w:val="24"/>
        </w:rPr>
        <w:t xml:space="preserve">management to obtain an overview of departmental </w:t>
      </w:r>
      <w:r w:rsidRPr="0059258F">
        <w:rPr>
          <w:rStyle w:val="s2cc9b3cb1"/>
          <w:rFonts w:ascii="Arial" w:hAnsi="Arial" w:cs="Arial"/>
          <w:sz w:val="24"/>
          <w:szCs w:val="24"/>
        </w:rPr>
        <w:t>processes, procedures</w:t>
      </w:r>
      <w:r w:rsidR="003F4F7A" w:rsidRPr="0059258F">
        <w:rPr>
          <w:rStyle w:val="s2cc9b3cb1"/>
          <w:rFonts w:ascii="Arial" w:hAnsi="Arial" w:cs="Arial"/>
          <w:sz w:val="24"/>
          <w:szCs w:val="24"/>
        </w:rPr>
        <w:t>,</w:t>
      </w:r>
      <w:r w:rsidRPr="0059258F">
        <w:rPr>
          <w:rStyle w:val="s2cc9b3cb1"/>
          <w:rFonts w:ascii="Arial" w:hAnsi="Arial" w:cs="Arial"/>
          <w:sz w:val="24"/>
          <w:szCs w:val="24"/>
        </w:rPr>
        <w:t xml:space="preserve"> and controls over the timely clos</w:t>
      </w:r>
      <w:r w:rsidR="00E24D39" w:rsidRPr="0059258F">
        <w:rPr>
          <w:rStyle w:val="s2cc9b3cb1"/>
          <w:rFonts w:ascii="Arial" w:hAnsi="Arial" w:cs="Arial"/>
          <w:sz w:val="24"/>
          <w:szCs w:val="24"/>
        </w:rPr>
        <w:t xml:space="preserve">ure </w:t>
      </w:r>
      <w:r w:rsidRPr="0059258F">
        <w:rPr>
          <w:rStyle w:val="s2cc9b3cb1"/>
          <w:rFonts w:ascii="Arial" w:hAnsi="Arial" w:cs="Arial"/>
          <w:sz w:val="24"/>
          <w:szCs w:val="24"/>
        </w:rPr>
        <w:t xml:space="preserve">of project plant accounts. </w:t>
      </w:r>
      <w:r w:rsidR="00305793" w:rsidRPr="0059258F">
        <w:rPr>
          <w:rStyle w:val="s2cc9b3cb1"/>
          <w:rFonts w:ascii="Arial" w:hAnsi="Arial" w:cs="Arial"/>
          <w:sz w:val="24"/>
          <w:szCs w:val="24"/>
        </w:rPr>
        <w:t xml:space="preserve"> </w:t>
      </w:r>
      <w:r w:rsidR="00E77198" w:rsidRPr="0059258F">
        <w:rPr>
          <w:rStyle w:val="s2cc9b3cb1"/>
          <w:rFonts w:ascii="Arial" w:hAnsi="Arial" w:cs="Arial"/>
          <w:sz w:val="24"/>
          <w:szCs w:val="24"/>
        </w:rPr>
        <w:t>D</w:t>
      </w:r>
      <w:r w:rsidRPr="0059258F">
        <w:rPr>
          <w:rStyle w:val="s2cc9b3cb1"/>
          <w:rFonts w:ascii="Arial" w:hAnsi="Arial" w:cs="Arial"/>
          <w:sz w:val="24"/>
          <w:szCs w:val="24"/>
        </w:rPr>
        <w:t xml:space="preserve">epartmental procedures for plant account close-out were reviewed for adequacy. </w:t>
      </w:r>
      <w:r w:rsidR="00305793" w:rsidRPr="0059258F">
        <w:rPr>
          <w:rStyle w:val="s2cc9b3cb1"/>
          <w:rFonts w:ascii="Arial" w:hAnsi="Arial" w:cs="Arial"/>
          <w:sz w:val="24"/>
          <w:szCs w:val="24"/>
        </w:rPr>
        <w:t xml:space="preserve"> </w:t>
      </w:r>
      <w:r w:rsidRPr="0059258F">
        <w:rPr>
          <w:rStyle w:val="s2cc9b3cb1"/>
          <w:rFonts w:ascii="Arial" w:hAnsi="Arial" w:cs="Arial"/>
          <w:sz w:val="24"/>
          <w:szCs w:val="24"/>
        </w:rPr>
        <w:t xml:space="preserve">CapSTAR system reports, various </w:t>
      </w:r>
      <w:r w:rsidR="006A5442" w:rsidRPr="0059258F">
        <w:rPr>
          <w:rStyle w:val="s2cc9b3cb1"/>
          <w:rFonts w:ascii="Arial" w:hAnsi="Arial" w:cs="Arial"/>
          <w:sz w:val="24"/>
          <w:szCs w:val="24"/>
        </w:rPr>
        <w:t>correspondences</w:t>
      </w:r>
      <w:r w:rsidRPr="0059258F">
        <w:rPr>
          <w:rStyle w:val="s2cc9b3cb1"/>
          <w:rFonts w:ascii="Arial" w:hAnsi="Arial" w:cs="Arial"/>
          <w:sz w:val="24"/>
          <w:szCs w:val="24"/>
        </w:rPr>
        <w:t xml:space="preserve">, and other source documentation was summarized and used to prepare </w:t>
      </w:r>
      <w:r w:rsidR="00F15C5C" w:rsidRPr="0059258F">
        <w:rPr>
          <w:rStyle w:val="s2cc9b3cb1"/>
          <w:rFonts w:ascii="Arial" w:hAnsi="Arial" w:cs="Arial"/>
          <w:sz w:val="24"/>
          <w:szCs w:val="24"/>
        </w:rPr>
        <w:t xml:space="preserve">a </w:t>
      </w:r>
      <w:r w:rsidRPr="0059258F">
        <w:rPr>
          <w:rStyle w:val="s2cc9b3cb1"/>
          <w:rFonts w:ascii="Arial" w:hAnsi="Arial" w:cs="Arial"/>
          <w:sz w:val="24"/>
          <w:szCs w:val="24"/>
        </w:rPr>
        <w:t>timeline</w:t>
      </w:r>
      <w:r w:rsidR="00A667BC" w:rsidRPr="0059258F">
        <w:rPr>
          <w:rStyle w:val="s2cc9b3cb1"/>
          <w:rFonts w:ascii="Arial" w:hAnsi="Arial" w:cs="Arial"/>
          <w:sz w:val="24"/>
          <w:szCs w:val="24"/>
        </w:rPr>
        <w:t xml:space="preserve"> </w:t>
      </w:r>
      <w:r w:rsidRPr="0059258F">
        <w:rPr>
          <w:rStyle w:val="s2cc9b3cb1"/>
          <w:rFonts w:ascii="Arial" w:hAnsi="Arial" w:cs="Arial"/>
          <w:sz w:val="24"/>
          <w:szCs w:val="24"/>
        </w:rPr>
        <w:t>to verify the chronology and timeliness of plant account close-out</w:t>
      </w:r>
      <w:r w:rsidR="00206D78" w:rsidRPr="0059258F">
        <w:rPr>
          <w:rStyle w:val="s2cc9b3cb1"/>
          <w:rFonts w:ascii="Arial" w:hAnsi="Arial" w:cs="Arial"/>
          <w:sz w:val="24"/>
          <w:szCs w:val="24"/>
        </w:rPr>
        <w:t xml:space="preserve"> for the projects reviewed</w:t>
      </w:r>
      <w:r w:rsidRPr="0059258F">
        <w:rPr>
          <w:rStyle w:val="s2cc9b3cb1"/>
          <w:rFonts w:ascii="Arial" w:hAnsi="Arial" w:cs="Arial"/>
          <w:sz w:val="24"/>
          <w:szCs w:val="24"/>
        </w:rPr>
        <w:t>.</w:t>
      </w:r>
      <w:r w:rsidRPr="002F2577">
        <w:rPr>
          <w:rStyle w:val="s2cc9b3cb1"/>
          <w:rFonts w:ascii="Arial" w:hAnsi="Arial" w:cs="Arial"/>
          <w:sz w:val="24"/>
          <w:szCs w:val="24"/>
        </w:rPr>
        <w:t xml:space="preserve"> </w:t>
      </w:r>
    </w:p>
    <w:p w:rsidR="00B276E0" w:rsidRPr="002F2577" w:rsidRDefault="00B276E0" w:rsidP="00B276E0">
      <w:pPr>
        <w:pStyle w:val="nospacing0"/>
        <w:spacing w:line="360" w:lineRule="auto"/>
        <w:jc w:val="both"/>
        <w:rPr>
          <w:rStyle w:val="s2cc9b3cb1"/>
          <w:rFonts w:ascii="Arial" w:hAnsi="Arial" w:cs="Arial"/>
          <w:sz w:val="24"/>
          <w:szCs w:val="24"/>
        </w:rPr>
      </w:pPr>
    </w:p>
    <w:p w:rsidR="00B276E0" w:rsidRPr="002F2577" w:rsidRDefault="00B276E0" w:rsidP="00B276E0">
      <w:pPr>
        <w:pStyle w:val="nospacing0"/>
        <w:spacing w:line="360" w:lineRule="auto"/>
        <w:jc w:val="both"/>
        <w:rPr>
          <w:rStyle w:val="s2cc9b3cb1"/>
          <w:rFonts w:ascii="Arial" w:hAnsi="Arial" w:cs="Arial"/>
          <w:sz w:val="24"/>
          <w:szCs w:val="24"/>
        </w:rPr>
      </w:pPr>
      <w:r w:rsidRPr="002F2577">
        <w:rPr>
          <w:rStyle w:val="s2cc9b3cb1"/>
          <w:rFonts w:ascii="Arial" w:hAnsi="Arial" w:cs="Arial"/>
          <w:sz w:val="24"/>
          <w:szCs w:val="24"/>
        </w:rPr>
        <w:t xml:space="preserve">The financial plant account close-out process </w:t>
      </w:r>
      <w:r w:rsidR="00A55FE3">
        <w:rPr>
          <w:rStyle w:val="s2cc9b3cb1"/>
          <w:rFonts w:ascii="Arial" w:hAnsi="Arial" w:cs="Arial"/>
          <w:sz w:val="24"/>
          <w:szCs w:val="24"/>
        </w:rPr>
        <w:t xml:space="preserve">occurs </w:t>
      </w:r>
      <w:r w:rsidRPr="002F2577">
        <w:rPr>
          <w:rStyle w:val="s2cc9b3cb1"/>
          <w:rFonts w:ascii="Arial" w:hAnsi="Arial" w:cs="Arial"/>
          <w:sz w:val="24"/>
          <w:szCs w:val="24"/>
        </w:rPr>
        <w:t>after the project has been physically closed-out</w:t>
      </w:r>
      <w:r w:rsidR="00594562">
        <w:rPr>
          <w:rStyle w:val="s2cc9b3cb1"/>
          <w:rFonts w:ascii="Arial" w:hAnsi="Arial" w:cs="Arial"/>
          <w:sz w:val="24"/>
          <w:szCs w:val="24"/>
        </w:rPr>
        <w:t xml:space="preserve"> (i.e., construction contract requirements of the build have been met)</w:t>
      </w:r>
      <w:r w:rsidRPr="002F2577">
        <w:rPr>
          <w:rStyle w:val="s2cc9b3cb1"/>
          <w:rFonts w:ascii="Arial" w:hAnsi="Arial" w:cs="Arial"/>
          <w:sz w:val="24"/>
          <w:szCs w:val="24"/>
        </w:rPr>
        <w:t>.</w:t>
      </w:r>
      <w:r w:rsidR="00305793">
        <w:rPr>
          <w:rStyle w:val="s2cc9b3cb1"/>
          <w:rFonts w:ascii="Arial" w:hAnsi="Arial" w:cs="Arial"/>
          <w:sz w:val="24"/>
          <w:szCs w:val="24"/>
        </w:rPr>
        <w:t xml:space="preserve"> </w:t>
      </w:r>
      <w:r w:rsidRPr="002F2577">
        <w:rPr>
          <w:rStyle w:val="s2cc9b3cb1"/>
          <w:rFonts w:ascii="Arial" w:hAnsi="Arial" w:cs="Arial"/>
          <w:sz w:val="24"/>
          <w:szCs w:val="24"/>
        </w:rPr>
        <w:t xml:space="preserve"> The plant account remains open during the warranty period since vendor invoices and billings are still being received, remaining encumbrances are being released, punchlist items are being resolved by the contractor, and unused funds (if any) are being returned to their funding source. </w:t>
      </w:r>
      <w:r w:rsidR="00305793">
        <w:rPr>
          <w:rStyle w:val="s2cc9b3cb1"/>
          <w:rFonts w:ascii="Arial" w:hAnsi="Arial" w:cs="Arial"/>
          <w:sz w:val="24"/>
          <w:szCs w:val="24"/>
        </w:rPr>
        <w:t xml:space="preserve"> </w:t>
      </w:r>
      <w:r w:rsidRPr="002F2577">
        <w:rPr>
          <w:rStyle w:val="s2cc9b3cb1"/>
          <w:rFonts w:ascii="Arial" w:hAnsi="Arial" w:cs="Arial"/>
          <w:sz w:val="24"/>
          <w:szCs w:val="24"/>
        </w:rPr>
        <w:t xml:space="preserve">Once the </w:t>
      </w:r>
      <w:r w:rsidR="00C76734">
        <w:rPr>
          <w:rStyle w:val="s2cc9b3cb1"/>
          <w:rFonts w:ascii="Arial" w:hAnsi="Arial" w:cs="Arial"/>
          <w:sz w:val="24"/>
          <w:szCs w:val="24"/>
        </w:rPr>
        <w:t>P</w:t>
      </w:r>
      <w:r w:rsidRPr="002F2577">
        <w:rPr>
          <w:rStyle w:val="s2cc9b3cb1"/>
          <w:rFonts w:ascii="Arial" w:hAnsi="Arial" w:cs="Arial"/>
          <w:sz w:val="24"/>
          <w:szCs w:val="24"/>
        </w:rPr>
        <w:t xml:space="preserve">roject </w:t>
      </w:r>
      <w:r w:rsidR="00C76734">
        <w:rPr>
          <w:rStyle w:val="s2cc9b3cb1"/>
          <w:rFonts w:ascii="Arial" w:hAnsi="Arial" w:cs="Arial"/>
          <w:sz w:val="24"/>
          <w:szCs w:val="24"/>
        </w:rPr>
        <w:t>M</w:t>
      </w:r>
      <w:r w:rsidRPr="002F2577">
        <w:rPr>
          <w:rStyle w:val="s2cc9b3cb1"/>
          <w:rFonts w:ascii="Arial" w:hAnsi="Arial" w:cs="Arial"/>
          <w:sz w:val="24"/>
          <w:szCs w:val="24"/>
        </w:rPr>
        <w:t xml:space="preserve">anager determines the above mentioned items are completed, </w:t>
      </w:r>
      <w:r w:rsidR="00434CD4">
        <w:rPr>
          <w:rStyle w:val="s2cc9b3cb1"/>
          <w:rFonts w:ascii="Arial" w:hAnsi="Arial" w:cs="Arial"/>
          <w:sz w:val="24"/>
          <w:szCs w:val="24"/>
        </w:rPr>
        <w:t>C</w:t>
      </w:r>
      <w:r w:rsidRPr="002F2577">
        <w:rPr>
          <w:rStyle w:val="s2cc9b3cb1"/>
          <w:rFonts w:ascii="Arial" w:hAnsi="Arial" w:cs="Arial"/>
          <w:sz w:val="24"/>
          <w:szCs w:val="24"/>
        </w:rPr>
        <w:t xml:space="preserve">ertificate of </w:t>
      </w:r>
      <w:r w:rsidR="00434CD4">
        <w:rPr>
          <w:rStyle w:val="s2cc9b3cb1"/>
          <w:rFonts w:ascii="Arial" w:hAnsi="Arial" w:cs="Arial"/>
          <w:sz w:val="24"/>
          <w:szCs w:val="24"/>
        </w:rPr>
        <w:t>O</w:t>
      </w:r>
      <w:r w:rsidRPr="002F2577">
        <w:rPr>
          <w:rStyle w:val="s2cc9b3cb1"/>
          <w:rFonts w:ascii="Arial" w:hAnsi="Arial" w:cs="Arial"/>
          <w:sz w:val="24"/>
          <w:szCs w:val="24"/>
        </w:rPr>
        <w:t xml:space="preserve">ccupancy has been received, and </w:t>
      </w:r>
      <w:r w:rsidR="00434CD4">
        <w:rPr>
          <w:rStyle w:val="s2cc9b3cb1"/>
          <w:rFonts w:ascii="Arial" w:hAnsi="Arial" w:cs="Arial"/>
          <w:sz w:val="24"/>
          <w:szCs w:val="24"/>
        </w:rPr>
        <w:t>N</w:t>
      </w:r>
      <w:r w:rsidRPr="002F2577">
        <w:rPr>
          <w:rStyle w:val="s2cc9b3cb1"/>
          <w:rFonts w:ascii="Arial" w:hAnsi="Arial" w:cs="Arial"/>
          <w:sz w:val="24"/>
          <w:szCs w:val="24"/>
        </w:rPr>
        <w:t xml:space="preserve">otice of </w:t>
      </w:r>
      <w:r w:rsidR="00434CD4">
        <w:rPr>
          <w:rStyle w:val="s2cc9b3cb1"/>
          <w:rFonts w:ascii="Arial" w:hAnsi="Arial" w:cs="Arial"/>
          <w:sz w:val="24"/>
          <w:szCs w:val="24"/>
        </w:rPr>
        <w:t>C</w:t>
      </w:r>
      <w:r w:rsidRPr="002F2577">
        <w:rPr>
          <w:rStyle w:val="s2cc9b3cb1"/>
          <w:rFonts w:ascii="Arial" w:hAnsi="Arial" w:cs="Arial"/>
          <w:sz w:val="24"/>
          <w:szCs w:val="24"/>
        </w:rPr>
        <w:t xml:space="preserve">ompletion has been filed, the plant account is closed. </w:t>
      </w:r>
      <w:r w:rsidR="00CF2E86">
        <w:rPr>
          <w:rStyle w:val="s2cc9b3cb1"/>
          <w:rFonts w:ascii="Arial" w:hAnsi="Arial" w:cs="Arial"/>
          <w:sz w:val="24"/>
          <w:szCs w:val="24"/>
        </w:rPr>
        <w:t xml:space="preserve">Departmental procedures for plant account close-out </w:t>
      </w:r>
      <w:r w:rsidR="0059258F">
        <w:rPr>
          <w:rStyle w:val="s2cc9b3cb1"/>
          <w:rFonts w:ascii="Arial" w:hAnsi="Arial" w:cs="Arial"/>
          <w:sz w:val="24"/>
          <w:szCs w:val="24"/>
        </w:rPr>
        <w:t>were found to be</w:t>
      </w:r>
      <w:r w:rsidR="00CF2E86">
        <w:rPr>
          <w:rStyle w:val="s2cc9b3cb1"/>
          <w:rFonts w:ascii="Arial" w:hAnsi="Arial" w:cs="Arial"/>
          <w:sz w:val="24"/>
          <w:szCs w:val="24"/>
        </w:rPr>
        <w:t xml:space="preserve"> adequate. </w:t>
      </w:r>
      <w:r w:rsidR="00C72813">
        <w:rPr>
          <w:rStyle w:val="s2cc9b3cb1"/>
          <w:rFonts w:ascii="Arial" w:hAnsi="Arial" w:cs="Arial"/>
          <w:sz w:val="24"/>
          <w:szCs w:val="24"/>
        </w:rPr>
        <w:t xml:space="preserve"> </w:t>
      </w:r>
      <w:r w:rsidR="00CF2E86">
        <w:rPr>
          <w:rStyle w:val="s2cc9b3cb1"/>
          <w:rFonts w:ascii="Arial" w:hAnsi="Arial" w:cs="Arial"/>
          <w:sz w:val="24"/>
          <w:szCs w:val="24"/>
        </w:rPr>
        <w:t xml:space="preserve">The timeline </w:t>
      </w:r>
      <w:r w:rsidR="006D727F">
        <w:rPr>
          <w:rStyle w:val="s2cc9b3cb1"/>
          <w:rFonts w:ascii="Arial" w:hAnsi="Arial" w:cs="Arial"/>
          <w:sz w:val="24"/>
          <w:szCs w:val="24"/>
        </w:rPr>
        <w:t xml:space="preserve">developed by A&amp;AS </w:t>
      </w:r>
      <w:r w:rsidR="00CF2E86">
        <w:rPr>
          <w:rStyle w:val="s2cc9b3cb1"/>
          <w:rFonts w:ascii="Arial" w:hAnsi="Arial" w:cs="Arial"/>
          <w:sz w:val="24"/>
          <w:szCs w:val="24"/>
        </w:rPr>
        <w:t xml:space="preserve">was used as an evaluation tool to </w:t>
      </w:r>
      <w:r w:rsidR="001E7DEF">
        <w:rPr>
          <w:rStyle w:val="s2cc9b3cb1"/>
          <w:rFonts w:ascii="Arial" w:hAnsi="Arial" w:cs="Arial"/>
          <w:sz w:val="24"/>
          <w:szCs w:val="24"/>
        </w:rPr>
        <w:t>summarize information</w:t>
      </w:r>
      <w:r w:rsidR="00C72813">
        <w:rPr>
          <w:rStyle w:val="s2cc9b3cb1"/>
          <w:rFonts w:ascii="Arial" w:hAnsi="Arial" w:cs="Arial"/>
          <w:sz w:val="24"/>
          <w:szCs w:val="24"/>
        </w:rPr>
        <w:t xml:space="preserve">.  </w:t>
      </w:r>
      <w:r w:rsidR="006D727F">
        <w:rPr>
          <w:rStyle w:val="s2cc9b3cb1"/>
          <w:rFonts w:ascii="Arial" w:hAnsi="Arial" w:cs="Arial"/>
          <w:sz w:val="24"/>
          <w:szCs w:val="24"/>
        </w:rPr>
        <w:t xml:space="preserve">It was subsequently </w:t>
      </w:r>
      <w:r w:rsidR="00AF16B5">
        <w:rPr>
          <w:rStyle w:val="s2cc9b3cb1"/>
          <w:rFonts w:ascii="Arial" w:hAnsi="Arial" w:cs="Arial"/>
          <w:sz w:val="24"/>
          <w:szCs w:val="24"/>
        </w:rPr>
        <w:t>used to</w:t>
      </w:r>
      <w:r w:rsidR="001E7DEF">
        <w:rPr>
          <w:rStyle w:val="s2cc9b3cb1"/>
          <w:rFonts w:ascii="Arial" w:hAnsi="Arial" w:cs="Arial"/>
          <w:sz w:val="24"/>
          <w:szCs w:val="24"/>
        </w:rPr>
        <w:t xml:space="preserve"> </w:t>
      </w:r>
      <w:r w:rsidR="00070825">
        <w:rPr>
          <w:rStyle w:val="s2cc9b3cb1"/>
          <w:rFonts w:ascii="Arial" w:hAnsi="Arial" w:cs="Arial"/>
          <w:sz w:val="24"/>
          <w:szCs w:val="24"/>
        </w:rPr>
        <w:t xml:space="preserve">measure the timeliness of </w:t>
      </w:r>
      <w:r w:rsidR="001E7DEF">
        <w:rPr>
          <w:rStyle w:val="s2cc9b3cb1"/>
          <w:rFonts w:ascii="Arial" w:hAnsi="Arial" w:cs="Arial"/>
          <w:sz w:val="24"/>
          <w:szCs w:val="24"/>
        </w:rPr>
        <w:t xml:space="preserve">testing attributes such as </w:t>
      </w:r>
      <w:r w:rsidR="00070825">
        <w:rPr>
          <w:rStyle w:val="s2cc9b3cb1"/>
          <w:rFonts w:ascii="Arial" w:hAnsi="Arial" w:cs="Arial"/>
          <w:sz w:val="24"/>
          <w:szCs w:val="24"/>
        </w:rPr>
        <w:t xml:space="preserve">receipt of </w:t>
      </w:r>
      <w:r w:rsidR="001E7DEF">
        <w:rPr>
          <w:rStyle w:val="s2cc9b3cb1"/>
          <w:rFonts w:ascii="Arial" w:hAnsi="Arial" w:cs="Arial"/>
          <w:sz w:val="24"/>
          <w:szCs w:val="24"/>
        </w:rPr>
        <w:t xml:space="preserve">vendor and consultant </w:t>
      </w:r>
      <w:r w:rsidR="00070825">
        <w:rPr>
          <w:rStyle w:val="s2cc9b3cb1"/>
          <w:rFonts w:ascii="Arial" w:hAnsi="Arial" w:cs="Arial"/>
          <w:sz w:val="24"/>
          <w:szCs w:val="24"/>
        </w:rPr>
        <w:t>final invoices, return of unused funds to their source</w:t>
      </w:r>
      <w:r w:rsidR="006F396F">
        <w:rPr>
          <w:rStyle w:val="s2cc9b3cb1"/>
          <w:rFonts w:ascii="Arial" w:hAnsi="Arial" w:cs="Arial"/>
          <w:sz w:val="24"/>
          <w:szCs w:val="24"/>
        </w:rPr>
        <w:t xml:space="preserve">, </w:t>
      </w:r>
      <w:r w:rsidR="0059258F">
        <w:rPr>
          <w:rStyle w:val="s2cc9b3cb1"/>
          <w:rFonts w:ascii="Arial" w:hAnsi="Arial" w:cs="Arial"/>
          <w:sz w:val="24"/>
          <w:szCs w:val="24"/>
        </w:rPr>
        <w:t xml:space="preserve">and </w:t>
      </w:r>
      <w:r w:rsidR="00070825">
        <w:rPr>
          <w:rStyle w:val="s2cc9b3cb1"/>
          <w:rFonts w:ascii="Arial" w:hAnsi="Arial" w:cs="Arial"/>
          <w:sz w:val="24"/>
          <w:szCs w:val="24"/>
        </w:rPr>
        <w:t xml:space="preserve">preparation of the post-completion </w:t>
      </w:r>
      <w:r w:rsidR="006D727F">
        <w:rPr>
          <w:rStyle w:val="s2cc9b3cb1"/>
          <w:rFonts w:ascii="Arial" w:hAnsi="Arial" w:cs="Arial"/>
          <w:sz w:val="24"/>
          <w:szCs w:val="24"/>
        </w:rPr>
        <w:t>C</w:t>
      </w:r>
      <w:r w:rsidR="0059258F">
        <w:rPr>
          <w:rStyle w:val="s2cc9b3cb1"/>
          <w:rFonts w:ascii="Arial" w:hAnsi="Arial" w:cs="Arial"/>
          <w:sz w:val="24"/>
          <w:szCs w:val="24"/>
        </w:rPr>
        <w:t>IB</w:t>
      </w:r>
      <w:r w:rsidR="006F396F">
        <w:rPr>
          <w:rStyle w:val="s2cc9b3cb1"/>
          <w:rFonts w:ascii="Arial" w:hAnsi="Arial" w:cs="Arial"/>
          <w:sz w:val="24"/>
          <w:szCs w:val="24"/>
        </w:rPr>
        <w:t>.</w:t>
      </w:r>
      <w:r w:rsidR="00CF2E86">
        <w:rPr>
          <w:rStyle w:val="s2cc9b3cb1"/>
          <w:rFonts w:ascii="Arial" w:hAnsi="Arial" w:cs="Arial"/>
          <w:sz w:val="24"/>
          <w:szCs w:val="24"/>
        </w:rPr>
        <w:t xml:space="preserve"> </w:t>
      </w:r>
    </w:p>
    <w:p w:rsidR="00B276E0" w:rsidRPr="002F2577" w:rsidRDefault="00B276E0" w:rsidP="00B276E0">
      <w:pPr>
        <w:pStyle w:val="nospacing0"/>
        <w:spacing w:line="360" w:lineRule="auto"/>
        <w:jc w:val="both"/>
        <w:rPr>
          <w:rStyle w:val="s2cc9b3cb1"/>
          <w:rFonts w:ascii="Arial" w:hAnsi="Arial" w:cs="Arial"/>
          <w:sz w:val="24"/>
          <w:szCs w:val="24"/>
        </w:rPr>
      </w:pPr>
    </w:p>
    <w:p w:rsidR="00B276E0" w:rsidRPr="002F2577" w:rsidRDefault="00305793" w:rsidP="00B276E0">
      <w:pPr>
        <w:pStyle w:val="nospacing0"/>
        <w:spacing w:line="360" w:lineRule="auto"/>
        <w:jc w:val="both"/>
      </w:pPr>
      <w:r>
        <w:t xml:space="preserve">There were no </w:t>
      </w:r>
      <w:r w:rsidR="00B276E0" w:rsidRPr="002F2577">
        <w:t xml:space="preserve">significant control </w:t>
      </w:r>
      <w:r>
        <w:t xml:space="preserve">weaknesses noted </w:t>
      </w:r>
      <w:r w:rsidR="00B276E0" w:rsidRPr="002F2577">
        <w:t>in this area.</w:t>
      </w:r>
    </w:p>
    <w:p w:rsidR="00B276E0" w:rsidRPr="002F2577" w:rsidRDefault="00B276E0" w:rsidP="00B276E0">
      <w:pPr>
        <w:pStyle w:val="nospacing0"/>
        <w:spacing w:line="360" w:lineRule="auto"/>
        <w:jc w:val="both"/>
        <w:rPr>
          <w:rStyle w:val="s2cc9b3cb1"/>
          <w:rFonts w:ascii="Arial" w:hAnsi="Arial" w:cs="Arial"/>
          <w:sz w:val="24"/>
          <w:szCs w:val="24"/>
        </w:rPr>
      </w:pPr>
    </w:p>
    <w:p w:rsidR="00B276E0" w:rsidRPr="002F2577" w:rsidRDefault="00B276E0" w:rsidP="00B276E0">
      <w:pPr>
        <w:pStyle w:val="NoSpacing"/>
        <w:jc w:val="center"/>
        <w:rPr>
          <w:u w:val="single"/>
        </w:rPr>
      </w:pPr>
      <w:r w:rsidRPr="002F2577">
        <w:rPr>
          <w:u w:val="single"/>
        </w:rPr>
        <w:t>Unused Funding</w:t>
      </w:r>
    </w:p>
    <w:p w:rsidR="00B276E0" w:rsidRPr="002F2577" w:rsidRDefault="00B276E0" w:rsidP="00B276E0">
      <w:pPr>
        <w:pStyle w:val="nospacing0"/>
        <w:spacing w:line="360" w:lineRule="auto"/>
        <w:jc w:val="both"/>
      </w:pPr>
    </w:p>
    <w:p w:rsidR="00B276E0" w:rsidRPr="002F2577" w:rsidRDefault="0008442C" w:rsidP="00B276E0">
      <w:pPr>
        <w:pStyle w:val="nospacing0"/>
        <w:spacing w:line="360" w:lineRule="auto"/>
        <w:jc w:val="both"/>
        <w:rPr>
          <w:rStyle w:val="s2cc9b3cb1"/>
          <w:rFonts w:ascii="Arial" w:hAnsi="Arial" w:cs="Arial"/>
          <w:sz w:val="24"/>
          <w:szCs w:val="24"/>
        </w:rPr>
      </w:pPr>
      <w:r>
        <w:rPr>
          <w:rStyle w:val="s2cc9b3cb1"/>
          <w:rFonts w:ascii="Arial" w:hAnsi="Arial" w:cs="Arial"/>
          <w:sz w:val="24"/>
          <w:szCs w:val="24"/>
        </w:rPr>
        <w:t xml:space="preserve">Meetings were held with CP personnel </w:t>
      </w:r>
      <w:r w:rsidR="00B276E0" w:rsidRPr="002F2577">
        <w:rPr>
          <w:rStyle w:val="s2cc9b3cb1"/>
          <w:rFonts w:ascii="Arial" w:hAnsi="Arial" w:cs="Arial"/>
          <w:sz w:val="24"/>
          <w:szCs w:val="24"/>
        </w:rPr>
        <w:t xml:space="preserve">to </w:t>
      </w:r>
      <w:r w:rsidR="00E74362">
        <w:rPr>
          <w:rStyle w:val="s2cc9b3cb1"/>
          <w:rFonts w:ascii="Arial" w:hAnsi="Arial" w:cs="Arial"/>
          <w:sz w:val="24"/>
          <w:szCs w:val="24"/>
        </w:rPr>
        <w:t xml:space="preserve">determine the </w:t>
      </w:r>
      <w:r w:rsidR="00B276E0" w:rsidRPr="002F2577">
        <w:rPr>
          <w:rStyle w:val="s2cc9b3cb1"/>
          <w:rFonts w:ascii="Arial" w:hAnsi="Arial" w:cs="Arial"/>
          <w:sz w:val="24"/>
          <w:szCs w:val="24"/>
        </w:rPr>
        <w:t xml:space="preserve">departmental procedures and controls over the timely return of unused funding to its source relative to project close-out. </w:t>
      </w:r>
      <w:r w:rsidR="00031D84">
        <w:rPr>
          <w:rStyle w:val="s2cc9b3cb1"/>
          <w:rFonts w:ascii="Arial" w:hAnsi="Arial" w:cs="Arial"/>
          <w:sz w:val="24"/>
          <w:szCs w:val="24"/>
        </w:rPr>
        <w:t xml:space="preserve"> </w:t>
      </w:r>
      <w:r w:rsidR="00B276E0" w:rsidRPr="002F2577">
        <w:rPr>
          <w:rStyle w:val="s2cc9b3cb1"/>
          <w:rFonts w:ascii="Arial" w:hAnsi="Arial" w:cs="Arial"/>
          <w:sz w:val="24"/>
          <w:szCs w:val="24"/>
        </w:rPr>
        <w:t>For the three projects</w:t>
      </w:r>
      <w:r w:rsidR="003F4F7A">
        <w:rPr>
          <w:rStyle w:val="s2cc9b3cb1"/>
          <w:rFonts w:ascii="Arial" w:hAnsi="Arial" w:cs="Arial"/>
          <w:sz w:val="24"/>
          <w:szCs w:val="24"/>
        </w:rPr>
        <w:t xml:space="preserve"> selected</w:t>
      </w:r>
      <w:r w:rsidR="00B276E0" w:rsidRPr="002F2577">
        <w:rPr>
          <w:rStyle w:val="s2cc9b3cb1"/>
          <w:rFonts w:ascii="Arial" w:hAnsi="Arial" w:cs="Arial"/>
          <w:sz w:val="24"/>
          <w:szCs w:val="24"/>
        </w:rPr>
        <w:t xml:space="preserve">, various reports from </w:t>
      </w:r>
      <w:r w:rsidR="00B50322">
        <w:rPr>
          <w:rStyle w:val="s2cc9b3cb1"/>
          <w:rFonts w:ascii="Arial" w:hAnsi="Arial" w:cs="Arial"/>
          <w:sz w:val="24"/>
          <w:szCs w:val="24"/>
        </w:rPr>
        <w:t>the depa</w:t>
      </w:r>
      <w:r w:rsidR="008873A7">
        <w:rPr>
          <w:rStyle w:val="s2cc9b3cb1"/>
          <w:rFonts w:ascii="Arial" w:hAnsi="Arial" w:cs="Arial"/>
          <w:sz w:val="24"/>
          <w:szCs w:val="24"/>
        </w:rPr>
        <w:t xml:space="preserve">rtment’s </w:t>
      </w:r>
      <w:r w:rsidR="00B276E0" w:rsidRPr="002F2577">
        <w:rPr>
          <w:rStyle w:val="s2cc9b3cb1"/>
          <w:rFonts w:ascii="Arial" w:hAnsi="Arial" w:cs="Arial"/>
          <w:sz w:val="24"/>
          <w:szCs w:val="24"/>
        </w:rPr>
        <w:t xml:space="preserve">CapSTAR system, correspondence, and other source documentation were reviewed to verify the type and status of the funding for each project tested.  </w:t>
      </w:r>
      <w:r w:rsidR="00E52546">
        <w:rPr>
          <w:rStyle w:val="s2cc9b3cb1"/>
          <w:rFonts w:ascii="Arial" w:hAnsi="Arial" w:cs="Arial"/>
          <w:sz w:val="24"/>
          <w:szCs w:val="24"/>
        </w:rPr>
        <w:t>An</w:t>
      </w:r>
      <w:r w:rsidR="00B276E0" w:rsidRPr="002F2577">
        <w:rPr>
          <w:rStyle w:val="s2cc9b3cb1"/>
          <w:rFonts w:ascii="Arial" w:hAnsi="Arial" w:cs="Arial"/>
          <w:sz w:val="24"/>
          <w:szCs w:val="24"/>
        </w:rPr>
        <w:t xml:space="preserve"> information summary and timeline </w:t>
      </w:r>
      <w:r w:rsidR="00E52546">
        <w:rPr>
          <w:rStyle w:val="s2cc9b3cb1"/>
          <w:rFonts w:ascii="Arial" w:hAnsi="Arial" w:cs="Arial"/>
          <w:sz w:val="24"/>
          <w:szCs w:val="24"/>
        </w:rPr>
        <w:t xml:space="preserve">was </w:t>
      </w:r>
      <w:r w:rsidR="00B276E0" w:rsidRPr="002F2577">
        <w:rPr>
          <w:rStyle w:val="s2cc9b3cb1"/>
          <w:rFonts w:ascii="Arial" w:hAnsi="Arial" w:cs="Arial"/>
          <w:sz w:val="24"/>
          <w:szCs w:val="24"/>
        </w:rPr>
        <w:t xml:space="preserve">prepared to verify the chronology and timeliness of each project’s remaining fund balance. </w:t>
      </w:r>
      <w:r w:rsidR="00031D84">
        <w:rPr>
          <w:rStyle w:val="s2cc9b3cb1"/>
          <w:rFonts w:ascii="Arial" w:hAnsi="Arial" w:cs="Arial"/>
          <w:sz w:val="24"/>
          <w:szCs w:val="24"/>
        </w:rPr>
        <w:t xml:space="preserve"> </w:t>
      </w:r>
      <w:r w:rsidR="000C0369">
        <w:rPr>
          <w:rStyle w:val="s2cc9b3cb1"/>
          <w:rFonts w:ascii="Arial" w:hAnsi="Arial" w:cs="Arial"/>
          <w:sz w:val="24"/>
          <w:szCs w:val="24"/>
        </w:rPr>
        <w:t xml:space="preserve">For the projects tested, it was disclosed that </w:t>
      </w:r>
      <w:r w:rsidR="00B276E0" w:rsidRPr="002F2577">
        <w:rPr>
          <w:rStyle w:val="s2cc9b3cb1"/>
          <w:rFonts w:ascii="Arial" w:hAnsi="Arial" w:cs="Arial"/>
          <w:sz w:val="24"/>
          <w:szCs w:val="24"/>
        </w:rPr>
        <w:t xml:space="preserve">funds were either transferred to a </w:t>
      </w:r>
      <w:r w:rsidR="00B276E0" w:rsidRPr="0059258F">
        <w:rPr>
          <w:rStyle w:val="s2cc9b3cb1"/>
          <w:rFonts w:ascii="Arial" w:hAnsi="Arial" w:cs="Arial"/>
          <w:sz w:val="24"/>
          <w:szCs w:val="24"/>
        </w:rPr>
        <w:t xml:space="preserve">management approved remediation fund, </w:t>
      </w:r>
      <w:r w:rsidR="00415A41" w:rsidRPr="0059258F">
        <w:rPr>
          <w:rStyle w:val="s2cc9b3cb1"/>
          <w:rFonts w:ascii="Arial" w:hAnsi="Arial" w:cs="Arial"/>
          <w:sz w:val="24"/>
          <w:szCs w:val="24"/>
        </w:rPr>
        <w:t xml:space="preserve">any </w:t>
      </w:r>
      <w:r w:rsidR="00B276E0" w:rsidRPr="0059258F">
        <w:rPr>
          <w:rStyle w:val="s2cc9b3cb1"/>
          <w:rFonts w:ascii="Arial" w:hAnsi="Arial" w:cs="Arial"/>
          <w:sz w:val="24"/>
          <w:szCs w:val="24"/>
        </w:rPr>
        <w:t>unused budgeted appropriation</w:t>
      </w:r>
      <w:r w:rsidR="003F4F7A" w:rsidRPr="0059258F">
        <w:rPr>
          <w:rStyle w:val="s2cc9b3cb1"/>
          <w:rFonts w:ascii="Arial" w:hAnsi="Arial" w:cs="Arial"/>
          <w:sz w:val="24"/>
          <w:szCs w:val="24"/>
        </w:rPr>
        <w:t>s</w:t>
      </w:r>
      <w:r w:rsidR="00B276E0" w:rsidRPr="0059258F">
        <w:rPr>
          <w:rStyle w:val="s2cc9b3cb1"/>
          <w:rFonts w:ascii="Arial" w:hAnsi="Arial" w:cs="Arial"/>
          <w:sz w:val="24"/>
          <w:szCs w:val="24"/>
        </w:rPr>
        <w:t xml:space="preserve"> w</w:t>
      </w:r>
      <w:r w:rsidR="003F4F7A" w:rsidRPr="0059258F">
        <w:rPr>
          <w:rStyle w:val="s2cc9b3cb1"/>
          <w:rFonts w:ascii="Arial" w:hAnsi="Arial" w:cs="Arial"/>
          <w:sz w:val="24"/>
          <w:szCs w:val="24"/>
        </w:rPr>
        <w:t>ere</w:t>
      </w:r>
      <w:r w:rsidR="00B276E0" w:rsidRPr="0059258F">
        <w:rPr>
          <w:rStyle w:val="s2cc9b3cb1"/>
          <w:rFonts w:ascii="Arial" w:hAnsi="Arial" w:cs="Arial"/>
          <w:sz w:val="24"/>
          <w:szCs w:val="24"/>
        </w:rPr>
        <w:t xml:space="preserve"> closed, or funding was closed </w:t>
      </w:r>
      <w:r w:rsidR="00415A41" w:rsidRPr="0059258F">
        <w:rPr>
          <w:rStyle w:val="s2cc9b3cb1"/>
          <w:rFonts w:ascii="Arial" w:hAnsi="Arial" w:cs="Arial"/>
          <w:sz w:val="24"/>
          <w:szCs w:val="24"/>
        </w:rPr>
        <w:t xml:space="preserve">out </w:t>
      </w:r>
      <w:r w:rsidR="00B276E0" w:rsidRPr="0059258F">
        <w:rPr>
          <w:rStyle w:val="s2cc9b3cb1"/>
          <w:rFonts w:ascii="Arial" w:hAnsi="Arial" w:cs="Arial"/>
          <w:sz w:val="24"/>
          <w:szCs w:val="24"/>
        </w:rPr>
        <w:t>in consideration of other contingency appropriations</w:t>
      </w:r>
      <w:r w:rsidR="001139C6">
        <w:rPr>
          <w:rStyle w:val="s2cc9b3cb1"/>
          <w:rFonts w:ascii="Arial" w:hAnsi="Arial" w:cs="Arial"/>
          <w:sz w:val="24"/>
          <w:szCs w:val="24"/>
        </w:rPr>
        <w:t xml:space="preserve"> from </w:t>
      </w:r>
      <w:r w:rsidR="008D7409">
        <w:rPr>
          <w:rStyle w:val="s2cc9b3cb1"/>
          <w:rFonts w:ascii="Arial" w:hAnsi="Arial" w:cs="Arial"/>
          <w:sz w:val="24"/>
          <w:szCs w:val="24"/>
        </w:rPr>
        <w:t xml:space="preserve">the </w:t>
      </w:r>
      <w:r w:rsidR="001139C6">
        <w:rPr>
          <w:rStyle w:val="s2cc9b3cb1"/>
          <w:rFonts w:ascii="Arial" w:hAnsi="Arial" w:cs="Arial"/>
          <w:sz w:val="24"/>
          <w:szCs w:val="24"/>
        </w:rPr>
        <w:t>Chancellor’s</w:t>
      </w:r>
      <w:r w:rsidR="00B276E0" w:rsidRPr="002F2577">
        <w:rPr>
          <w:rStyle w:val="s2cc9b3cb1"/>
          <w:rFonts w:ascii="Arial" w:hAnsi="Arial" w:cs="Arial"/>
          <w:sz w:val="24"/>
          <w:szCs w:val="24"/>
        </w:rPr>
        <w:t xml:space="preserve"> </w:t>
      </w:r>
      <w:r w:rsidR="001139C6">
        <w:rPr>
          <w:rStyle w:val="s2cc9b3cb1"/>
          <w:rFonts w:ascii="Arial" w:hAnsi="Arial" w:cs="Arial"/>
          <w:sz w:val="24"/>
          <w:szCs w:val="24"/>
        </w:rPr>
        <w:t>commitments to Capital Programs and the Office of Academic Planning</w:t>
      </w:r>
      <w:r w:rsidR="00234AF0">
        <w:rPr>
          <w:rStyle w:val="s2cc9b3cb1"/>
          <w:rFonts w:ascii="Arial" w:hAnsi="Arial" w:cs="Arial"/>
          <w:sz w:val="24"/>
          <w:szCs w:val="24"/>
        </w:rPr>
        <w:t xml:space="preserve"> and Budget</w:t>
      </w:r>
      <w:r w:rsidR="001139C6">
        <w:rPr>
          <w:rStyle w:val="s2cc9b3cb1"/>
          <w:rFonts w:ascii="Arial" w:hAnsi="Arial" w:cs="Arial"/>
          <w:sz w:val="24"/>
          <w:szCs w:val="24"/>
        </w:rPr>
        <w:t>.</w:t>
      </w:r>
    </w:p>
    <w:p w:rsidR="00B276E0" w:rsidRPr="002F2577" w:rsidRDefault="00B276E0" w:rsidP="00B276E0">
      <w:pPr>
        <w:pStyle w:val="nospacing0"/>
        <w:spacing w:line="360" w:lineRule="auto"/>
        <w:jc w:val="both"/>
        <w:rPr>
          <w:rStyle w:val="s2cc9b3cb1"/>
          <w:rFonts w:ascii="Arial" w:hAnsi="Arial" w:cs="Arial"/>
          <w:sz w:val="24"/>
          <w:szCs w:val="24"/>
        </w:rPr>
      </w:pPr>
    </w:p>
    <w:p w:rsidR="006B51F6" w:rsidRPr="002F2577" w:rsidRDefault="006B51F6" w:rsidP="006B51F6">
      <w:pPr>
        <w:pStyle w:val="nospacing0"/>
        <w:spacing w:line="360" w:lineRule="auto"/>
        <w:jc w:val="both"/>
      </w:pPr>
      <w:r>
        <w:t xml:space="preserve">There were no </w:t>
      </w:r>
      <w:r w:rsidRPr="002F2577">
        <w:t xml:space="preserve">significant control </w:t>
      </w:r>
      <w:r>
        <w:t xml:space="preserve">weaknesses noted </w:t>
      </w:r>
      <w:r w:rsidRPr="002F2577">
        <w:t>in this area.</w:t>
      </w:r>
    </w:p>
    <w:p w:rsidR="00B276E0" w:rsidRPr="002F2577" w:rsidRDefault="00B276E0" w:rsidP="00B276E0">
      <w:pPr>
        <w:pStyle w:val="normalweb0"/>
        <w:jc w:val="both"/>
        <w:rPr>
          <w:rStyle w:val="sbe40fc821"/>
        </w:rPr>
      </w:pPr>
    </w:p>
    <w:p w:rsidR="00B276E0" w:rsidRPr="002F2577" w:rsidRDefault="00B276E0" w:rsidP="003F4F7A">
      <w:pPr>
        <w:pStyle w:val="normalweb0"/>
        <w:spacing w:before="0" w:after="0" w:line="360" w:lineRule="auto"/>
        <w:jc w:val="center"/>
        <w:rPr>
          <w:rStyle w:val="sbe40fc821"/>
          <w:u w:val="single"/>
        </w:rPr>
      </w:pPr>
      <w:r w:rsidRPr="002F2577">
        <w:rPr>
          <w:rStyle w:val="sbe40fc821"/>
          <w:u w:val="single"/>
        </w:rPr>
        <w:t>Final Billings and Invoices</w:t>
      </w:r>
    </w:p>
    <w:p w:rsidR="00B276E0" w:rsidRPr="002F2577" w:rsidRDefault="00B276E0" w:rsidP="003F4F7A">
      <w:pPr>
        <w:pStyle w:val="nospacing0"/>
        <w:spacing w:line="360" w:lineRule="auto"/>
        <w:jc w:val="both"/>
        <w:rPr>
          <w:rStyle w:val="s2cc9b3cb1"/>
          <w:rFonts w:ascii="Arial" w:hAnsi="Arial" w:cs="Arial"/>
          <w:sz w:val="24"/>
          <w:szCs w:val="24"/>
        </w:rPr>
      </w:pPr>
    </w:p>
    <w:p w:rsidR="00B276E0" w:rsidRPr="002F2577" w:rsidRDefault="00925CFB" w:rsidP="003F4F7A">
      <w:pPr>
        <w:pStyle w:val="nospacing0"/>
        <w:spacing w:line="360" w:lineRule="auto"/>
        <w:jc w:val="both"/>
      </w:pPr>
      <w:r>
        <w:rPr>
          <w:rStyle w:val="s2cc9b3cb1"/>
          <w:rFonts w:ascii="Arial" w:hAnsi="Arial" w:cs="Arial"/>
          <w:sz w:val="24"/>
          <w:szCs w:val="24"/>
        </w:rPr>
        <w:t xml:space="preserve">Discussions </w:t>
      </w:r>
      <w:r w:rsidR="00B276E0" w:rsidRPr="002F2577">
        <w:rPr>
          <w:rStyle w:val="s2cc9b3cb1"/>
          <w:rFonts w:ascii="Arial" w:hAnsi="Arial" w:cs="Arial"/>
          <w:sz w:val="24"/>
          <w:szCs w:val="24"/>
        </w:rPr>
        <w:t xml:space="preserve">with CP management and project managers </w:t>
      </w:r>
      <w:r>
        <w:rPr>
          <w:rStyle w:val="s2cc9b3cb1"/>
          <w:rFonts w:ascii="Arial" w:hAnsi="Arial" w:cs="Arial"/>
          <w:sz w:val="24"/>
          <w:szCs w:val="24"/>
        </w:rPr>
        <w:t xml:space="preserve">were conducted </w:t>
      </w:r>
      <w:r w:rsidR="00B276E0" w:rsidRPr="002F2577">
        <w:rPr>
          <w:rStyle w:val="s2cc9b3cb1"/>
          <w:rFonts w:ascii="Arial" w:hAnsi="Arial" w:cs="Arial"/>
          <w:sz w:val="24"/>
          <w:szCs w:val="24"/>
        </w:rPr>
        <w:t xml:space="preserve">to </w:t>
      </w:r>
      <w:r w:rsidR="00983892">
        <w:rPr>
          <w:rStyle w:val="s2cc9b3cb1"/>
          <w:rFonts w:ascii="Arial" w:hAnsi="Arial" w:cs="Arial"/>
          <w:sz w:val="24"/>
          <w:szCs w:val="24"/>
        </w:rPr>
        <w:t xml:space="preserve">identify the key </w:t>
      </w:r>
      <w:r w:rsidR="00B276E0" w:rsidRPr="002F2577">
        <w:rPr>
          <w:rStyle w:val="s2cc9b3cb1"/>
          <w:rFonts w:ascii="Arial" w:hAnsi="Arial" w:cs="Arial"/>
          <w:sz w:val="24"/>
          <w:szCs w:val="24"/>
        </w:rPr>
        <w:t>departmental processes</w:t>
      </w:r>
      <w:r w:rsidR="00983892">
        <w:rPr>
          <w:rStyle w:val="s2cc9b3cb1"/>
          <w:rFonts w:ascii="Arial" w:hAnsi="Arial" w:cs="Arial"/>
          <w:sz w:val="24"/>
          <w:szCs w:val="24"/>
        </w:rPr>
        <w:t xml:space="preserve"> </w:t>
      </w:r>
      <w:r w:rsidR="00B276E0" w:rsidRPr="002F2577">
        <w:rPr>
          <w:rStyle w:val="s2cc9b3cb1"/>
          <w:rFonts w:ascii="Arial" w:hAnsi="Arial" w:cs="Arial"/>
          <w:sz w:val="24"/>
          <w:szCs w:val="24"/>
        </w:rPr>
        <w:t xml:space="preserve">and </w:t>
      </w:r>
      <w:r w:rsidR="00983892">
        <w:rPr>
          <w:rStyle w:val="s2cc9b3cb1"/>
          <w:rFonts w:ascii="Arial" w:hAnsi="Arial" w:cs="Arial"/>
          <w:sz w:val="24"/>
          <w:szCs w:val="24"/>
        </w:rPr>
        <w:t xml:space="preserve">internal </w:t>
      </w:r>
      <w:r w:rsidR="00B276E0" w:rsidRPr="002F2577">
        <w:rPr>
          <w:rStyle w:val="s2cc9b3cb1"/>
          <w:rFonts w:ascii="Arial" w:hAnsi="Arial" w:cs="Arial"/>
          <w:sz w:val="24"/>
          <w:szCs w:val="24"/>
        </w:rPr>
        <w:t xml:space="preserve">controls for monitoring construction costs, including the tracking and receipt of final vendor and consultant invoices. </w:t>
      </w:r>
      <w:r w:rsidR="00031D84">
        <w:rPr>
          <w:rStyle w:val="s2cc9b3cb1"/>
          <w:rFonts w:ascii="Arial" w:hAnsi="Arial" w:cs="Arial"/>
          <w:sz w:val="24"/>
          <w:szCs w:val="24"/>
        </w:rPr>
        <w:t xml:space="preserve"> </w:t>
      </w:r>
      <w:r w:rsidR="00B276E0" w:rsidRPr="002F2577">
        <w:rPr>
          <w:rStyle w:val="s2cc9b3cb1"/>
          <w:rFonts w:ascii="Arial" w:hAnsi="Arial" w:cs="Arial"/>
          <w:sz w:val="24"/>
          <w:szCs w:val="24"/>
        </w:rPr>
        <w:t xml:space="preserve">CapSTAR </w:t>
      </w:r>
      <w:r w:rsidR="003F4F7A" w:rsidRPr="00450AF4">
        <w:rPr>
          <w:rStyle w:val="s2cc9b3cb1"/>
          <w:rFonts w:ascii="Arial" w:hAnsi="Arial" w:cs="Arial"/>
          <w:sz w:val="24"/>
          <w:szCs w:val="24"/>
        </w:rPr>
        <w:t>B</w:t>
      </w:r>
      <w:r w:rsidR="00B276E0" w:rsidRPr="00450AF4">
        <w:rPr>
          <w:rStyle w:val="s2cc9b3cb1"/>
          <w:rFonts w:ascii="Arial" w:hAnsi="Arial" w:cs="Arial"/>
          <w:sz w:val="24"/>
          <w:szCs w:val="24"/>
        </w:rPr>
        <w:t xml:space="preserve">udget </w:t>
      </w:r>
      <w:r w:rsidR="003F4F7A" w:rsidRPr="00450AF4">
        <w:rPr>
          <w:rStyle w:val="s2cc9b3cb1"/>
          <w:rFonts w:ascii="Arial" w:hAnsi="Arial" w:cs="Arial"/>
          <w:sz w:val="24"/>
          <w:szCs w:val="24"/>
        </w:rPr>
        <w:t>T</w:t>
      </w:r>
      <w:r w:rsidR="00B276E0" w:rsidRPr="00450AF4">
        <w:rPr>
          <w:rStyle w:val="s2cc9b3cb1"/>
          <w:rFonts w:ascii="Arial" w:hAnsi="Arial" w:cs="Arial"/>
          <w:sz w:val="24"/>
          <w:szCs w:val="24"/>
        </w:rPr>
        <w:t xml:space="preserve">racking </w:t>
      </w:r>
      <w:r w:rsidR="003F4F7A" w:rsidRPr="00450AF4">
        <w:rPr>
          <w:rStyle w:val="s2cc9b3cb1"/>
          <w:rFonts w:ascii="Arial" w:hAnsi="Arial" w:cs="Arial"/>
          <w:sz w:val="24"/>
          <w:szCs w:val="24"/>
        </w:rPr>
        <w:t>R</w:t>
      </w:r>
      <w:r w:rsidR="00B276E0" w:rsidRPr="00450AF4">
        <w:rPr>
          <w:rStyle w:val="s2cc9b3cb1"/>
          <w:rFonts w:ascii="Arial" w:hAnsi="Arial" w:cs="Arial"/>
          <w:sz w:val="24"/>
          <w:szCs w:val="24"/>
        </w:rPr>
        <w:t>eports</w:t>
      </w:r>
      <w:r w:rsidR="00B276E0" w:rsidRPr="002F2577">
        <w:rPr>
          <w:rStyle w:val="s2cc9b3cb1"/>
          <w:rFonts w:ascii="Arial" w:hAnsi="Arial" w:cs="Arial"/>
          <w:sz w:val="24"/>
          <w:szCs w:val="24"/>
        </w:rPr>
        <w:t xml:space="preserve"> (BTRs) were reviewed to evaluate the methodology utilized by project managers to </w:t>
      </w:r>
      <w:r w:rsidR="00B276E0" w:rsidRPr="002F2577">
        <w:t xml:space="preserve">confirm </w:t>
      </w:r>
      <w:r w:rsidR="00B47B0A">
        <w:t xml:space="preserve">that </w:t>
      </w:r>
      <w:r w:rsidR="00B276E0" w:rsidRPr="002F2577">
        <w:t>all contracts have been paid out, there are no rema</w:t>
      </w:r>
      <w:r w:rsidR="00450AF4">
        <w:t xml:space="preserve">ining encumbered balances, and </w:t>
      </w:r>
      <w:r w:rsidR="00B276E0" w:rsidRPr="002F2577">
        <w:t xml:space="preserve">vendors and consultants have fully invoiced projects. </w:t>
      </w:r>
      <w:r w:rsidR="00031D84">
        <w:t xml:space="preserve"> </w:t>
      </w:r>
    </w:p>
    <w:p w:rsidR="00B276E0" w:rsidRPr="002F2577" w:rsidRDefault="00B276E0" w:rsidP="00B276E0">
      <w:pPr>
        <w:pStyle w:val="nospacing0"/>
        <w:spacing w:line="360" w:lineRule="auto"/>
        <w:jc w:val="both"/>
      </w:pPr>
    </w:p>
    <w:p w:rsidR="006B51F6" w:rsidRPr="002F2577" w:rsidRDefault="006B51F6" w:rsidP="006B51F6">
      <w:pPr>
        <w:pStyle w:val="nospacing0"/>
        <w:spacing w:line="360" w:lineRule="auto"/>
        <w:jc w:val="both"/>
      </w:pPr>
      <w:r>
        <w:t xml:space="preserve">There were no </w:t>
      </w:r>
      <w:r w:rsidRPr="002F2577">
        <w:t xml:space="preserve">significant control </w:t>
      </w:r>
      <w:r>
        <w:t xml:space="preserve">weaknesses noted </w:t>
      </w:r>
      <w:r w:rsidRPr="002F2577">
        <w:t>in this area.</w:t>
      </w:r>
    </w:p>
    <w:p w:rsidR="00B276E0" w:rsidRPr="002F2577" w:rsidRDefault="00B276E0" w:rsidP="00B276E0">
      <w:pPr>
        <w:pStyle w:val="nospacing0"/>
        <w:spacing w:line="360" w:lineRule="auto"/>
        <w:jc w:val="both"/>
      </w:pPr>
    </w:p>
    <w:p w:rsidR="00B276E0" w:rsidRPr="002F2577" w:rsidRDefault="00B276E0" w:rsidP="003F4F7A">
      <w:pPr>
        <w:pStyle w:val="nospacing0"/>
        <w:spacing w:line="360" w:lineRule="auto"/>
        <w:jc w:val="center"/>
        <w:rPr>
          <w:u w:val="single"/>
        </w:rPr>
      </w:pPr>
      <w:r w:rsidRPr="002F2577">
        <w:rPr>
          <w:u w:val="single"/>
        </w:rPr>
        <w:t>Builder’s Risk Insurance</w:t>
      </w:r>
    </w:p>
    <w:p w:rsidR="00B276E0" w:rsidRPr="002F2577" w:rsidRDefault="00B276E0" w:rsidP="003F4F7A">
      <w:pPr>
        <w:pStyle w:val="nospacing0"/>
        <w:spacing w:line="360" w:lineRule="auto"/>
        <w:jc w:val="both"/>
      </w:pPr>
    </w:p>
    <w:p w:rsidR="00B276E0" w:rsidRPr="002F2577" w:rsidRDefault="00B276E0" w:rsidP="003F4F7A">
      <w:pPr>
        <w:pStyle w:val="normalweb0"/>
        <w:spacing w:before="0" w:after="0" w:line="360" w:lineRule="auto"/>
        <w:jc w:val="both"/>
        <w:rPr>
          <w:rStyle w:val="s2cc9b3cb1"/>
          <w:rFonts w:ascii="Arial" w:hAnsi="Arial" w:cs="Arial"/>
          <w:sz w:val="24"/>
          <w:szCs w:val="24"/>
        </w:rPr>
      </w:pPr>
      <w:r w:rsidRPr="002F2577">
        <w:rPr>
          <w:rStyle w:val="s2cc9b3cb1"/>
          <w:rFonts w:ascii="Arial" w:hAnsi="Arial" w:cs="Arial"/>
          <w:sz w:val="24"/>
          <w:szCs w:val="24"/>
        </w:rPr>
        <w:t xml:space="preserve">BRI is based on the construction value of the construction contract. </w:t>
      </w:r>
      <w:r w:rsidR="00031D84">
        <w:rPr>
          <w:rStyle w:val="s2cc9b3cb1"/>
          <w:rFonts w:ascii="Arial" w:hAnsi="Arial" w:cs="Arial"/>
          <w:sz w:val="24"/>
          <w:szCs w:val="24"/>
        </w:rPr>
        <w:t xml:space="preserve"> </w:t>
      </w:r>
      <w:r w:rsidRPr="002F2577">
        <w:rPr>
          <w:rStyle w:val="s2cc9b3cb1"/>
          <w:rFonts w:ascii="Arial" w:hAnsi="Arial" w:cs="Arial"/>
          <w:sz w:val="24"/>
          <w:szCs w:val="24"/>
        </w:rPr>
        <w:t xml:space="preserve">The BRI </w:t>
      </w:r>
      <w:r w:rsidR="00F926C3">
        <w:rPr>
          <w:rStyle w:val="s2cc9b3cb1"/>
          <w:rFonts w:ascii="Arial" w:hAnsi="Arial" w:cs="Arial"/>
          <w:sz w:val="24"/>
          <w:szCs w:val="24"/>
        </w:rPr>
        <w:t xml:space="preserve">amount </w:t>
      </w:r>
      <w:r w:rsidRPr="002F2577">
        <w:rPr>
          <w:rStyle w:val="s2cc9b3cb1"/>
          <w:rFonts w:ascii="Arial" w:hAnsi="Arial" w:cs="Arial"/>
          <w:sz w:val="24"/>
          <w:szCs w:val="24"/>
        </w:rPr>
        <w:t>usually changes as a result of approved construction contract change orders.</w:t>
      </w:r>
      <w:r w:rsidR="00031D84">
        <w:rPr>
          <w:rStyle w:val="s2cc9b3cb1"/>
          <w:rFonts w:ascii="Arial" w:hAnsi="Arial" w:cs="Arial"/>
          <w:sz w:val="24"/>
          <w:szCs w:val="24"/>
        </w:rPr>
        <w:t xml:space="preserve"> </w:t>
      </w:r>
      <w:r w:rsidRPr="002F2577">
        <w:rPr>
          <w:rStyle w:val="s2cc9b3cb1"/>
          <w:rFonts w:ascii="Arial" w:hAnsi="Arial" w:cs="Arial"/>
          <w:sz w:val="24"/>
          <w:szCs w:val="24"/>
        </w:rPr>
        <w:t xml:space="preserve"> </w:t>
      </w:r>
      <w:r w:rsidR="002808AF">
        <w:rPr>
          <w:rStyle w:val="s2cc9b3cb1"/>
          <w:rFonts w:ascii="Arial" w:hAnsi="Arial" w:cs="Arial"/>
          <w:sz w:val="24"/>
          <w:szCs w:val="24"/>
        </w:rPr>
        <w:t xml:space="preserve">Upon obtaining </w:t>
      </w:r>
      <w:r w:rsidR="00D478C2">
        <w:rPr>
          <w:rStyle w:val="s2cc9b3cb1"/>
          <w:rFonts w:ascii="Arial" w:hAnsi="Arial" w:cs="Arial"/>
          <w:sz w:val="24"/>
          <w:szCs w:val="24"/>
        </w:rPr>
        <w:t xml:space="preserve">an overview of the departmental processes and controls for monitoring the receipt of final invoices and/or final BRI invoice remittance information, A&amp;AS </w:t>
      </w:r>
      <w:r w:rsidRPr="002F2577">
        <w:rPr>
          <w:rStyle w:val="s2cc9b3cb1"/>
          <w:rFonts w:ascii="Arial" w:hAnsi="Arial" w:cs="Arial"/>
          <w:sz w:val="24"/>
          <w:szCs w:val="24"/>
        </w:rPr>
        <w:t>selected three test projects</w:t>
      </w:r>
      <w:r w:rsidR="001B757E">
        <w:rPr>
          <w:rStyle w:val="s2cc9b3cb1"/>
          <w:rFonts w:ascii="Arial" w:hAnsi="Arial" w:cs="Arial"/>
          <w:sz w:val="24"/>
          <w:szCs w:val="24"/>
        </w:rPr>
        <w:t xml:space="preserve"> for review.  V</w:t>
      </w:r>
      <w:r w:rsidRPr="002F2577">
        <w:rPr>
          <w:rStyle w:val="s2cc9b3cb1"/>
          <w:rFonts w:ascii="Arial" w:hAnsi="Arial" w:cs="Arial"/>
          <w:sz w:val="24"/>
          <w:szCs w:val="24"/>
        </w:rPr>
        <w:t>arious reports from</w:t>
      </w:r>
      <w:r w:rsidR="003F4F7A">
        <w:rPr>
          <w:rStyle w:val="s2cc9b3cb1"/>
          <w:rFonts w:ascii="Arial" w:hAnsi="Arial" w:cs="Arial"/>
          <w:sz w:val="24"/>
          <w:szCs w:val="24"/>
        </w:rPr>
        <w:t xml:space="preserve"> the</w:t>
      </w:r>
      <w:r w:rsidRPr="002F2577">
        <w:rPr>
          <w:rStyle w:val="s2cc9b3cb1"/>
          <w:rFonts w:ascii="Arial" w:hAnsi="Arial" w:cs="Arial"/>
          <w:sz w:val="24"/>
          <w:szCs w:val="24"/>
        </w:rPr>
        <w:t xml:space="preserve"> Capital Programs’ CapSTAR system, campus General Ledger, and other source documentation </w:t>
      </w:r>
      <w:r w:rsidR="001B757E">
        <w:rPr>
          <w:rStyle w:val="s2cc9b3cb1"/>
          <w:rFonts w:ascii="Arial" w:hAnsi="Arial" w:cs="Arial"/>
          <w:sz w:val="24"/>
          <w:szCs w:val="24"/>
        </w:rPr>
        <w:t xml:space="preserve">was used </w:t>
      </w:r>
      <w:r w:rsidRPr="002F2577">
        <w:rPr>
          <w:rStyle w:val="s2cc9b3cb1"/>
          <w:rFonts w:ascii="Arial" w:hAnsi="Arial" w:cs="Arial"/>
          <w:sz w:val="24"/>
          <w:szCs w:val="24"/>
        </w:rPr>
        <w:t>to prepare a summary and timeline to verify the timeliness of the receipt of final BRI invoice remittance information relative to closing the plant account and return</w:t>
      </w:r>
      <w:r w:rsidR="0083037F">
        <w:rPr>
          <w:rStyle w:val="s2cc9b3cb1"/>
          <w:rFonts w:ascii="Arial" w:hAnsi="Arial" w:cs="Arial"/>
          <w:sz w:val="24"/>
          <w:szCs w:val="24"/>
        </w:rPr>
        <w:t>ing</w:t>
      </w:r>
      <w:r w:rsidRPr="002F2577">
        <w:rPr>
          <w:rStyle w:val="s2cc9b3cb1"/>
          <w:rFonts w:ascii="Arial" w:hAnsi="Arial" w:cs="Arial"/>
          <w:sz w:val="24"/>
          <w:szCs w:val="24"/>
        </w:rPr>
        <w:t xml:space="preserve"> any unused funds and/or closing of funding appropriations.</w:t>
      </w:r>
      <w:r w:rsidR="00031D84">
        <w:rPr>
          <w:rStyle w:val="s2cc9b3cb1"/>
          <w:rFonts w:ascii="Arial" w:hAnsi="Arial" w:cs="Arial"/>
          <w:sz w:val="24"/>
          <w:szCs w:val="24"/>
        </w:rPr>
        <w:t xml:space="preserve"> </w:t>
      </w:r>
      <w:r w:rsidRPr="002F2577">
        <w:rPr>
          <w:rStyle w:val="s2cc9b3cb1"/>
          <w:rFonts w:ascii="Arial" w:hAnsi="Arial" w:cs="Arial"/>
          <w:sz w:val="24"/>
          <w:szCs w:val="24"/>
        </w:rPr>
        <w:t xml:space="preserve"> Departmental procedures for closing-out plant accounts were </w:t>
      </w:r>
      <w:r w:rsidR="00CF1B20">
        <w:rPr>
          <w:rStyle w:val="s2cc9b3cb1"/>
          <w:rFonts w:ascii="Arial" w:hAnsi="Arial" w:cs="Arial"/>
          <w:sz w:val="24"/>
          <w:szCs w:val="24"/>
        </w:rPr>
        <w:t xml:space="preserve">also </w:t>
      </w:r>
      <w:r w:rsidRPr="002F2577">
        <w:rPr>
          <w:rStyle w:val="s2cc9b3cb1"/>
          <w:rFonts w:ascii="Arial" w:hAnsi="Arial" w:cs="Arial"/>
          <w:sz w:val="24"/>
          <w:szCs w:val="24"/>
        </w:rPr>
        <w:t>reviewed for adequacy.</w:t>
      </w:r>
      <w:r w:rsidR="003F4F7A">
        <w:rPr>
          <w:rStyle w:val="s2cc9b3cb1"/>
          <w:rFonts w:ascii="Arial" w:hAnsi="Arial" w:cs="Arial"/>
          <w:sz w:val="24"/>
          <w:szCs w:val="24"/>
        </w:rPr>
        <w:t xml:space="preserve">  The following was noted:</w:t>
      </w:r>
      <w:r w:rsidRPr="002F2577">
        <w:rPr>
          <w:rStyle w:val="s2cc9b3cb1"/>
          <w:rFonts w:ascii="Arial" w:hAnsi="Arial" w:cs="Arial"/>
          <w:sz w:val="24"/>
          <w:szCs w:val="24"/>
        </w:rPr>
        <w:t xml:space="preserve"> </w:t>
      </w:r>
    </w:p>
    <w:p w:rsidR="00FB5FD7" w:rsidRDefault="00FB5FD7" w:rsidP="00B276E0">
      <w:pPr>
        <w:pStyle w:val="normalweb0"/>
        <w:spacing w:line="360" w:lineRule="auto"/>
        <w:jc w:val="both"/>
        <w:rPr>
          <w:rStyle w:val="s2cc9b3cb1"/>
          <w:rFonts w:ascii="Arial" w:hAnsi="Arial" w:cs="Arial"/>
          <w:sz w:val="24"/>
          <w:szCs w:val="24"/>
        </w:rPr>
      </w:pPr>
    </w:p>
    <w:p w:rsidR="00B276E0" w:rsidRDefault="000239E8" w:rsidP="003F4F7A">
      <w:pPr>
        <w:pStyle w:val="normalweb0"/>
        <w:tabs>
          <w:tab w:val="left" w:pos="0"/>
        </w:tabs>
        <w:spacing w:before="0" w:after="0" w:line="360" w:lineRule="auto"/>
        <w:jc w:val="both"/>
        <w:rPr>
          <w:rStyle w:val="s2cc9b3cb1"/>
          <w:rFonts w:ascii="Arial" w:hAnsi="Arial" w:cs="Arial"/>
          <w:sz w:val="24"/>
          <w:szCs w:val="24"/>
          <w:u w:val="single"/>
        </w:rPr>
      </w:pPr>
      <w:r>
        <w:rPr>
          <w:rStyle w:val="s2cc9b3cb1"/>
          <w:rFonts w:ascii="Arial" w:hAnsi="Arial" w:cs="Arial"/>
          <w:sz w:val="24"/>
          <w:szCs w:val="24"/>
        </w:rPr>
        <w:t xml:space="preserve">A.    </w:t>
      </w:r>
      <w:r w:rsidRPr="000239E8">
        <w:rPr>
          <w:rStyle w:val="s2cc9b3cb1"/>
          <w:rFonts w:ascii="Arial" w:hAnsi="Arial" w:cs="Arial"/>
          <w:sz w:val="24"/>
          <w:szCs w:val="24"/>
          <w:u w:val="single"/>
        </w:rPr>
        <w:t>Builder’s Risk Insurance – Final Invoice</w:t>
      </w:r>
    </w:p>
    <w:p w:rsidR="00BD277C" w:rsidRDefault="00BD277C" w:rsidP="003F4F7A">
      <w:pPr>
        <w:pStyle w:val="normalweb0"/>
        <w:tabs>
          <w:tab w:val="left" w:pos="0"/>
        </w:tabs>
        <w:spacing w:before="0" w:after="0" w:line="360" w:lineRule="auto"/>
        <w:jc w:val="both"/>
        <w:rPr>
          <w:rStyle w:val="s2cc9b3cb1"/>
          <w:rFonts w:ascii="Arial" w:hAnsi="Arial" w:cs="Arial"/>
          <w:sz w:val="24"/>
          <w:szCs w:val="24"/>
          <w:u w:val="single"/>
        </w:rPr>
      </w:pPr>
    </w:p>
    <w:p w:rsidR="00BD277C" w:rsidRPr="00BD277C" w:rsidRDefault="00BD277C" w:rsidP="00450AF4">
      <w:pPr>
        <w:suppressAutoHyphens w:val="0"/>
        <w:autoSpaceDE w:val="0"/>
        <w:autoSpaceDN w:val="0"/>
        <w:adjustRightInd w:val="0"/>
        <w:spacing w:line="360" w:lineRule="auto"/>
        <w:ind w:left="540"/>
        <w:jc w:val="both"/>
        <w:rPr>
          <w:rFonts w:ascii="Arial" w:hAnsi="Arial"/>
          <w:lang w:eastAsia="en-US"/>
        </w:rPr>
      </w:pPr>
      <w:r w:rsidRPr="00BD277C">
        <w:rPr>
          <w:rFonts w:ascii="Arial" w:hAnsi="Arial"/>
          <w:lang w:eastAsia="en-US"/>
        </w:rPr>
        <w:t xml:space="preserve">Final BRI invoices for two of three capital construction projects tested were received after the related plant accounts were closed. </w:t>
      </w:r>
      <w:r w:rsidR="00031D84">
        <w:rPr>
          <w:rFonts w:ascii="Arial" w:hAnsi="Arial"/>
          <w:lang w:eastAsia="en-US"/>
        </w:rPr>
        <w:t xml:space="preserve"> </w:t>
      </w:r>
      <w:r w:rsidRPr="00BD277C">
        <w:rPr>
          <w:rFonts w:ascii="Arial" w:hAnsi="Arial"/>
          <w:lang w:eastAsia="en-US"/>
        </w:rPr>
        <w:t xml:space="preserve">As a result, the premiums due for the late received BRI invoices were paid with funds other than the original primary funding source(s). </w:t>
      </w:r>
    </w:p>
    <w:p w:rsidR="00BD277C" w:rsidRPr="00BD277C" w:rsidRDefault="00BD277C" w:rsidP="00BD277C">
      <w:pPr>
        <w:suppressAutoHyphens w:val="0"/>
        <w:autoSpaceDE w:val="0"/>
        <w:autoSpaceDN w:val="0"/>
        <w:adjustRightInd w:val="0"/>
        <w:spacing w:line="360" w:lineRule="auto"/>
        <w:ind w:left="540"/>
        <w:jc w:val="both"/>
        <w:rPr>
          <w:rFonts w:ascii="Arial" w:hAnsi="Arial"/>
          <w:lang w:eastAsia="en-US"/>
        </w:rPr>
      </w:pPr>
      <w:r w:rsidRPr="00BD277C">
        <w:rPr>
          <w:rFonts w:ascii="Arial" w:hAnsi="Arial"/>
          <w:lang w:eastAsia="en-US"/>
        </w:rPr>
        <w:t>For project #945997, Dentistry 73006-2 Oral Cancer Research Center, the plant account was closed on March 21, 2014, and the final BRI invoice</w:t>
      </w:r>
      <w:r w:rsidR="00BC6AB0">
        <w:rPr>
          <w:rFonts w:ascii="Arial" w:hAnsi="Arial"/>
          <w:lang w:eastAsia="en-US"/>
        </w:rPr>
        <w:t xml:space="preserve"> in the amount of $979.69</w:t>
      </w:r>
      <w:r w:rsidRPr="00BD277C">
        <w:rPr>
          <w:rFonts w:ascii="Arial" w:hAnsi="Arial"/>
          <w:lang w:eastAsia="en-US"/>
        </w:rPr>
        <w:t xml:space="preserve"> for the project was received on June 30, 2014</w:t>
      </w:r>
      <w:r w:rsidR="0059258F">
        <w:rPr>
          <w:rFonts w:ascii="Arial" w:hAnsi="Arial"/>
          <w:lang w:eastAsia="en-US"/>
        </w:rPr>
        <w:t>,</w:t>
      </w:r>
      <w:r w:rsidRPr="00BD277C">
        <w:rPr>
          <w:rFonts w:ascii="Arial" w:hAnsi="Arial"/>
          <w:lang w:eastAsia="en-US"/>
        </w:rPr>
        <w:t xml:space="preserve"> (101 days after the plant account was closed).</w:t>
      </w:r>
      <w:r w:rsidR="00031D84">
        <w:rPr>
          <w:rFonts w:ascii="Arial" w:hAnsi="Arial"/>
          <w:lang w:eastAsia="en-US"/>
        </w:rPr>
        <w:t xml:space="preserve"> </w:t>
      </w:r>
      <w:r w:rsidRPr="00BD277C">
        <w:rPr>
          <w:rFonts w:ascii="Arial" w:hAnsi="Arial"/>
          <w:lang w:eastAsia="en-US"/>
        </w:rPr>
        <w:t xml:space="preserve"> The plant account for project #945954, Institute for Informatics Data Center was closed on August 16, 2013, and the final BRI invoice </w:t>
      </w:r>
      <w:r w:rsidR="00BC6AB0">
        <w:rPr>
          <w:rFonts w:ascii="Arial" w:hAnsi="Arial"/>
          <w:lang w:eastAsia="en-US"/>
        </w:rPr>
        <w:t xml:space="preserve">in the amount of $1,639.00 </w:t>
      </w:r>
      <w:r w:rsidRPr="00BD277C">
        <w:rPr>
          <w:rFonts w:ascii="Arial" w:hAnsi="Arial"/>
          <w:lang w:eastAsia="en-US"/>
        </w:rPr>
        <w:t xml:space="preserve">for the project was received on June 30, 2014 (318 days after the plant account was closed). </w:t>
      </w:r>
      <w:r w:rsidR="00031D84">
        <w:rPr>
          <w:rFonts w:ascii="Arial" w:hAnsi="Arial"/>
          <w:lang w:eastAsia="en-US"/>
        </w:rPr>
        <w:t xml:space="preserve"> </w:t>
      </w:r>
      <w:r w:rsidR="00612012">
        <w:rPr>
          <w:rFonts w:ascii="Arial" w:hAnsi="Arial"/>
          <w:lang w:eastAsia="en-US"/>
        </w:rPr>
        <w:t xml:space="preserve">Both of these invoices were paid from Chancellor </w:t>
      </w:r>
      <w:r w:rsidR="0059258F">
        <w:rPr>
          <w:rFonts w:ascii="Arial" w:hAnsi="Arial"/>
          <w:lang w:eastAsia="en-US"/>
        </w:rPr>
        <w:t>discretionary</w:t>
      </w:r>
      <w:r w:rsidR="00612012">
        <w:rPr>
          <w:rFonts w:ascii="Arial" w:hAnsi="Arial"/>
          <w:lang w:eastAsia="en-US"/>
        </w:rPr>
        <w:t xml:space="preserve"> funds since </w:t>
      </w:r>
      <w:r w:rsidR="006A12F6">
        <w:rPr>
          <w:rFonts w:ascii="Arial" w:hAnsi="Arial"/>
          <w:lang w:eastAsia="en-US"/>
        </w:rPr>
        <w:t>original funding sources were closed.</w:t>
      </w:r>
      <w:r w:rsidR="00206382">
        <w:rPr>
          <w:rFonts w:ascii="Arial" w:hAnsi="Arial"/>
          <w:lang w:eastAsia="en-US"/>
        </w:rPr>
        <w:t xml:space="preserve"> </w:t>
      </w:r>
      <w:r w:rsidR="006A12F6">
        <w:rPr>
          <w:rFonts w:ascii="Arial" w:hAnsi="Arial"/>
          <w:lang w:eastAsia="en-US"/>
        </w:rPr>
        <w:t xml:space="preserve"> </w:t>
      </w:r>
      <w:r w:rsidRPr="00BD277C">
        <w:rPr>
          <w:rFonts w:ascii="Arial" w:hAnsi="Arial"/>
          <w:lang w:eastAsia="en-US"/>
        </w:rPr>
        <w:t xml:space="preserve">The final BRI invoice information is controlled by </w:t>
      </w:r>
      <w:r w:rsidR="00434BCC">
        <w:rPr>
          <w:rFonts w:ascii="Arial" w:hAnsi="Arial"/>
          <w:lang w:eastAsia="en-US"/>
        </w:rPr>
        <w:t xml:space="preserve">the </w:t>
      </w:r>
      <w:r w:rsidRPr="00BD277C">
        <w:rPr>
          <w:rFonts w:ascii="Arial" w:hAnsi="Arial"/>
          <w:lang w:eastAsia="en-US"/>
        </w:rPr>
        <w:t>University of California, Office of the President (UCOP), and is subsequently provided to CP</w:t>
      </w:r>
      <w:r w:rsidR="008661CB">
        <w:rPr>
          <w:rFonts w:ascii="Arial" w:hAnsi="Arial"/>
          <w:lang w:eastAsia="en-US"/>
        </w:rPr>
        <w:t xml:space="preserve"> staff </w:t>
      </w:r>
      <w:r w:rsidRPr="00BD277C">
        <w:rPr>
          <w:rFonts w:ascii="Arial" w:hAnsi="Arial"/>
          <w:lang w:eastAsia="en-US"/>
        </w:rPr>
        <w:t>after reconcili</w:t>
      </w:r>
      <w:r w:rsidR="00F30413">
        <w:rPr>
          <w:rFonts w:ascii="Arial" w:hAnsi="Arial"/>
          <w:lang w:eastAsia="en-US"/>
        </w:rPr>
        <w:t xml:space="preserve">ation </w:t>
      </w:r>
      <w:r w:rsidR="00434BCC">
        <w:rPr>
          <w:rFonts w:ascii="Arial" w:hAnsi="Arial"/>
          <w:lang w:eastAsia="en-US"/>
        </w:rPr>
        <w:t xml:space="preserve">has been completed </w:t>
      </w:r>
      <w:r w:rsidRPr="00BD277C">
        <w:rPr>
          <w:rFonts w:ascii="Arial" w:hAnsi="Arial"/>
          <w:lang w:eastAsia="en-US"/>
        </w:rPr>
        <w:t>with the insurance broker.</w:t>
      </w:r>
    </w:p>
    <w:p w:rsidR="00BD277C" w:rsidRPr="00BD277C" w:rsidRDefault="00BD277C" w:rsidP="00BD277C">
      <w:pPr>
        <w:suppressAutoHyphens w:val="0"/>
        <w:autoSpaceDE w:val="0"/>
        <w:autoSpaceDN w:val="0"/>
        <w:adjustRightInd w:val="0"/>
        <w:spacing w:line="360" w:lineRule="auto"/>
        <w:jc w:val="both"/>
        <w:rPr>
          <w:rFonts w:ascii="Arial" w:hAnsi="Arial"/>
          <w:lang w:eastAsia="en-US"/>
        </w:rPr>
      </w:pPr>
      <w:r w:rsidRPr="00BD277C">
        <w:rPr>
          <w:rFonts w:ascii="Arial" w:hAnsi="Arial"/>
          <w:lang w:eastAsia="en-US"/>
        </w:rPr>
        <w:t> </w:t>
      </w:r>
    </w:p>
    <w:p w:rsidR="00BD277C" w:rsidRDefault="004C5B74" w:rsidP="00BD277C">
      <w:pPr>
        <w:suppressAutoHyphens w:val="0"/>
        <w:autoSpaceDE w:val="0"/>
        <w:autoSpaceDN w:val="0"/>
        <w:adjustRightInd w:val="0"/>
        <w:spacing w:line="360" w:lineRule="auto"/>
        <w:ind w:left="540"/>
        <w:jc w:val="both"/>
        <w:rPr>
          <w:rFonts w:ascii="Arial" w:hAnsi="Arial"/>
          <w:lang w:eastAsia="en-US"/>
        </w:rPr>
      </w:pPr>
      <w:r>
        <w:rPr>
          <w:rFonts w:ascii="Arial" w:hAnsi="Arial"/>
          <w:lang w:eastAsia="en-US"/>
        </w:rPr>
        <w:t xml:space="preserve">Based on </w:t>
      </w:r>
      <w:r w:rsidR="00BD277C" w:rsidRPr="00BD277C">
        <w:rPr>
          <w:rFonts w:ascii="Arial" w:hAnsi="Arial"/>
          <w:lang w:eastAsia="en-US"/>
        </w:rPr>
        <w:t>CP</w:t>
      </w:r>
      <w:r w:rsidR="00F67F5A">
        <w:rPr>
          <w:rFonts w:ascii="Arial" w:hAnsi="Arial"/>
          <w:lang w:eastAsia="en-US"/>
        </w:rPr>
        <w:t xml:space="preserve"> </w:t>
      </w:r>
      <w:r w:rsidR="00BD277C" w:rsidRPr="00BD277C">
        <w:rPr>
          <w:rFonts w:ascii="Arial" w:hAnsi="Arial"/>
          <w:lang w:eastAsia="en-US"/>
        </w:rPr>
        <w:t xml:space="preserve">departmental plant account project close-out procedures, the plant account is to remain open until all project invoices are received, encumbrances and memo liens are released, unused funds are returned to the original funding source, and notification to close the plant account is received from the project manager. </w:t>
      </w:r>
      <w:r w:rsidR="00031D84">
        <w:rPr>
          <w:rFonts w:ascii="Arial" w:hAnsi="Arial"/>
          <w:lang w:eastAsia="en-US"/>
        </w:rPr>
        <w:t xml:space="preserve"> </w:t>
      </w:r>
      <w:r w:rsidR="00BD277C" w:rsidRPr="00BD277C">
        <w:rPr>
          <w:rFonts w:ascii="Arial" w:hAnsi="Arial"/>
          <w:lang w:eastAsia="en-US"/>
        </w:rPr>
        <w:t xml:space="preserve">By not ensuring that final invoices, including final BRI invoices, are received on a timely basis prior to closing a project’s plant account, original funding sources might be unavailable to pay the final invoices. </w:t>
      </w:r>
      <w:r w:rsidR="00031D84">
        <w:rPr>
          <w:rFonts w:ascii="Arial" w:hAnsi="Arial"/>
          <w:lang w:eastAsia="en-US"/>
        </w:rPr>
        <w:t xml:space="preserve"> </w:t>
      </w:r>
      <w:r w:rsidR="00BD277C" w:rsidRPr="00BD277C">
        <w:rPr>
          <w:rFonts w:ascii="Arial" w:hAnsi="Arial"/>
          <w:lang w:eastAsia="en-US"/>
        </w:rPr>
        <w:t xml:space="preserve">As a result, other funding sources </w:t>
      </w:r>
      <w:r w:rsidR="00007F68">
        <w:rPr>
          <w:rFonts w:ascii="Arial" w:hAnsi="Arial"/>
          <w:lang w:eastAsia="en-US"/>
        </w:rPr>
        <w:t xml:space="preserve">may </w:t>
      </w:r>
      <w:r w:rsidR="00BD277C" w:rsidRPr="00BD277C">
        <w:rPr>
          <w:rFonts w:ascii="Arial" w:hAnsi="Arial"/>
          <w:lang w:eastAsia="en-US"/>
        </w:rPr>
        <w:t>be required to be identified and used to remit expense payments.</w:t>
      </w:r>
    </w:p>
    <w:p w:rsidR="007F5922" w:rsidRDefault="007F5922" w:rsidP="00BD277C">
      <w:pPr>
        <w:suppressAutoHyphens w:val="0"/>
        <w:autoSpaceDE w:val="0"/>
        <w:autoSpaceDN w:val="0"/>
        <w:adjustRightInd w:val="0"/>
        <w:spacing w:line="360" w:lineRule="auto"/>
        <w:ind w:left="540"/>
        <w:jc w:val="both"/>
        <w:rPr>
          <w:rFonts w:ascii="Arial" w:hAnsi="Arial"/>
          <w:lang w:eastAsia="en-US"/>
        </w:rPr>
      </w:pPr>
    </w:p>
    <w:p w:rsidR="00914F42" w:rsidRDefault="00914F42" w:rsidP="003C7920">
      <w:pPr>
        <w:pStyle w:val="NoSpacing1"/>
        <w:spacing w:line="360" w:lineRule="auto"/>
        <w:ind w:left="540"/>
        <w:jc w:val="both"/>
        <w:rPr>
          <w:u w:val="single"/>
        </w:rPr>
      </w:pPr>
      <w:r w:rsidRPr="003C7920">
        <w:t xml:space="preserve">Management is responsible for its stewardship of available funding resources. </w:t>
      </w:r>
      <w:r>
        <w:t xml:space="preserve"> </w:t>
      </w:r>
      <w:r w:rsidRPr="003C7920">
        <w:t xml:space="preserve">As such, it should be proactive in monitoring the status of final </w:t>
      </w:r>
      <w:r>
        <w:t xml:space="preserve">BRI </w:t>
      </w:r>
      <w:r w:rsidRPr="003C7920">
        <w:t xml:space="preserve">invoices to minimize the risk of delays in receiving final </w:t>
      </w:r>
      <w:r>
        <w:t xml:space="preserve">BRI </w:t>
      </w:r>
      <w:r w:rsidRPr="003C7920">
        <w:t xml:space="preserve">invoice information. </w:t>
      </w:r>
      <w:r>
        <w:t xml:space="preserve"> </w:t>
      </w:r>
      <w:r w:rsidRPr="003C7920">
        <w:t xml:space="preserve">By doing so, </w:t>
      </w:r>
      <w:r w:rsidR="003F4F7A">
        <w:t>internal</w:t>
      </w:r>
      <w:r w:rsidR="00AB70D2">
        <w:t xml:space="preserve"> </w:t>
      </w:r>
      <w:r w:rsidR="00AB70D2" w:rsidRPr="003C7920">
        <w:t>control</w:t>
      </w:r>
      <w:r w:rsidR="003F4F7A">
        <w:t>s</w:t>
      </w:r>
      <w:r w:rsidR="00AB70D2" w:rsidRPr="003C7920">
        <w:t xml:space="preserve"> </w:t>
      </w:r>
      <w:r w:rsidR="00AB70D2">
        <w:t xml:space="preserve">over </w:t>
      </w:r>
      <w:r w:rsidR="00AB70D2" w:rsidRPr="003C7920">
        <w:t>funding resources</w:t>
      </w:r>
      <w:r w:rsidR="00AB70D2">
        <w:t xml:space="preserve"> </w:t>
      </w:r>
      <w:r w:rsidR="001D3B16">
        <w:t xml:space="preserve">will be strengthened.  </w:t>
      </w:r>
    </w:p>
    <w:p w:rsidR="00914F42" w:rsidRDefault="00914F42" w:rsidP="003C7920">
      <w:pPr>
        <w:pStyle w:val="NoSpacing1"/>
        <w:spacing w:line="360" w:lineRule="auto"/>
        <w:ind w:left="540"/>
        <w:jc w:val="both"/>
        <w:rPr>
          <w:u w:val="single"/>
        </w:rPr>
      </w:pPr>
    </w:p>
    <w:p w:rsidR="003C7920" w:rsidRDefault="007F5922" w:rsidP="003C7920">
      <w:pPr>
        <w:pStyle w:val="NoSpacing1"/>
        <w:spacing w:line="360" w:lineRule="auto"/>
        <w:ind w:left="540"/>
        <w:jc w:val="both"/>
      </w:pPr>
      <w:r w:rsidRPr="007F5922">
        <w:rPr>
          <w:u w:val="single"/>
        </w:rPr>
        <w:t>Recommendation</w:t>
      </w:r>
      <w:r>
        <w:t xml:space="preserve">: </w:t>
      </w:r>
      <w:r w:rsidR="00031D84">
        <w:t xml:space="preserve"> </w:t>
      </w:r>
      <w:r w:rsidR="003C7920" w:rsidRPr="003C7920">
        <w:t>Management should coordinate efforts with</w:t>
      </w:r>
      <w:r w:rsidR="00C8592B">
        <w:t xml:space="preserve"> the</w:t>
      </w:r>
      <w:r w:rsidR="003C7920" w:rsidRPr="003C7920">
        <w:t xml:space="preserve"> UCOP</w:t>
      </w:r>
      <w:r w:rsidR="00C8592B">
        <w:t xml:space="preserve"> Construction Services Unit</w:t>
      </w:r>
      <w:r w:rsidR="003C7920" w:rsidRPr="003C7920">
        <w:t xml:space="preserve"> to ensure that final invoices for project B</w:t>
      </w:r>
      <w:r w:rsidR="003F4F7A">
        <w:t>RI</w:t>
      </w:r>
      <w:r w:rsidR="003C7920" w:rsidRPr="003C7920">
        <w:t xml:space="preserve"> are received on a timely basis relative to</w:t>
      </w:r>
      <w:r w:rsidR="003F4F7A">
        <w:t xml:space="preserve"> closing out the</w:t>
      </w:r>
      <w:r w:rsidR="003C7920" w:rsidRPr="003C7920">
        <w:t xml:space="preserve"> plant account. </w:t>
      </w:r>
    </w:p>
    <w:p w:rsidR="00EB28FE" w:rsidRDefault="00EB28FE" w:rsidP="003C7920">
      <w:pPr>
        <w:pStyle w:val="NoSpacing1"/>
        <w:spacing w:line="360" w:lineRule="auto"/>
        <w:ind w:left="540"/>
        <w:jc w:val="both"/>
      </w:pPr>
    </w:p>
    <w:p w:rsidR="009D4850" w:rsidRPr="009D4850" w:rsidRDefault="00EB28FE" w:rsidP="009D4850">
      <w:pPr>
        <w:pStyle w:val="NoSpacing1"/>
        <w:spacing w:line="360" w:lineRule="auto"/>
        <w:ind w:left="540"/>
        <w:jc w:val="both"/>
        <w:rPr>
          <w:rFonts w:cs="Arial"/>
          <w:color w:val="000000" w:themeColor="text1"/>
        </w:rPr>
      </w:pPr>
      <w:r w:rsidRPr="00EB28FE">
        <w:rPr>
          <w:u w:val="single"/>
        </w:rPr>
        <w:t>Response</w:t>
      </w:r>
      <w:r w:rsidR="00E24BC1">
        <w:t xml:space="preserve">:  </w:t>
      </w:r>
      <w:r w:rsidR="009D4850" w:rsidRPr="009D4850">
        <w:rPr>
          <w:rFonts w:cs="Arial"/>
          <w:color w:val="000000" w:themeColor="text1"/>
        </w:rPr>
        <w:t>Project Managers will continue to coordinate with UCOP to obtain timely final invoicing of Builders Risk Insurance that align with project close-out.</w:t>
      </w:r>
      <w:r w:rsidR="00B40548">
        <w:rPr>
          <w:rFonts w:cs="Arial"/>
          <w:color w:val="000000" w:themeColor="text1"/>
        </w:rPr>
        <w:t xml:space="preserve"> </w:t>
      </w:r>
      <w:r w:rsidR="009D4850" w:rsidRPr="009D4850">
        <w:rPr>
          <w:rFonts w:cs="Arial"/>
          <w:color w:val="000000" w:themeColor="text1"/>
        </w:rPr>
        <w:t xml:space="preserve"> However, this activity remains outside of Capital Programs’ control as the billing is dependent upon the insurance company billing UCOP and UCOP transferring the expense to the plant account. </w:t>
      </w:r>
      <w:r w:rsidR="009D4850">
        <w:rPr>
          <w:rFonts w:cs="Arial"/>
          <w:color w:val="000000" w:themeColor="text1"/>
        </w:rPr>
        <w:t xml:space="preserve"> </w:t>
      </w:r>
      <w:r w:rsidR="009D4850" w:rsidRPr="009D4850">
        <w:rPr>
          <w:rFonts w:cs="Arial"/>
          <w:color w:val="000000" w:themeColor="text1"/>
        </w:rPr>
        <w:t xml:space="preserve">Project Managers will continue to keep accounts open until they are told by UCOP that all insurance items have been billed. </w:t>
      </w:r>
      <w:r w:rsidR="009D4850">
        <w:rPr>
          <w:rFonts w:cs="Arial"/>
          <w:color w:val="000000" w:themeColor="text1"/>
        </w:rPr>
        <w:t xml:space="preserve"> </w:t>
      </w:r>
      <w:r w:rsidR="009D4850" w:rsidRPr="009D4850">
        <w:rPr>
          <w:rFonts w:cs="Arial"/>
          <w:color w:val="000000" w:themeColor="text1"/>
        </w:rPr>
        <w:t>This activity will require continuous coordination between the Project Manager and UCOP, but will always be dependent upon the quality and timeliness of the information the Project Manager receives from UCOP.</w:t>
      </w:r>
    </w:p>
    <w:p w:rsidR="003521F4" w:rsidRPr="003521F4" w:rsidRDefault="003521F4" w:rsidP="003521F4">
      <w:pPr>
        <w:suppressAutoHyphens w:val="0"/>
        <w:autoSpaceDE w:val="0"/>
        <w:autoSpaceDN w:val="0"/>
        <w:adjustRightInd w:val="0"/>
        <w:spacing w:line="360" w:lineRule="auto"/>
        <w:jc w:val="both"/>
        <w:rPr>
          <w:rFonts w:ascii="Arial" w:hAnsi="Arial"/>
          <w:lang w:eastAsia="en-US"/>
        </w:rPr>
      </w:pPr>
    </w:p>
    <w:p w:rsidR="00B276E0" w:rsidRPr="002F2577" w:rsidRDefault="00B276E0" w:rsidP="003F4F7A">
      <w:pPr>
        <w:pStyle w:val="NoSpacing"/>
        <w:spacing w:line="360" w:lineRule="auto"/>
        <w:jc w:val="center"/>
        <w:rPr>
          <w:u w:val="single"/>
        </w:rPr>
      </w:pPr>
      <w:r w:rsidRPr="002F2577">
        <w:rPr>
          <w:u w:val="single"/>
        </w:rPr>
        <w:t>University Controlled Insurance Program</w:t>
      </w:r>
    </w:p>
    <w:p w:rsidR="00B276E0" w:rsidRPr="002F2577" w:rsidRDefault="00B276E0" w:rsidP="003F4F7A">
      <w:pPr>
        <w:pStyle w:val="NoSpacing"/>
        <w:spacing w:line="360" w:lineRule="auto"/>
        <w:jc w:val="both"/>
      </w:pPr>
    </w:p>
    <w:p w:rsidR="00B276E0" w:rsidRPr="002F2577" w:rsidRDefault="004D4DDC" w:rsidP="003F4F7A">
      <w:pPr>
        <w:pStyle w:val="NoSpacing"/>
        <w:spacing w:line="360" w:lineRule="auto"/>
        <w:jc w:val="both"/>
      </w:pPr>
      <w:r>
        <w:rPr>
          <w:rStyle w:val="s2cc9b3cb1"/>
          <w:rFonts w:ascii="Arial" w:hAnsi="Arial" w:cs="Arial"/>
          <w:sz w:val="24"/>
          <w:szCs w:val="24"/>
        </w:rPr>
        <w:t xml:space="preserve">A&amp;AS met with </w:t>
      </w:r>
      <w:r w:rsidR="00B276E0" w:rsidRPr="002F2577">
        <w:rPr>
          <w:rStyle w:val="s2cc9b3cb1"/>
          <w:rFonts w:ascii="Arial" w:hAnsi="Arial" w:cs="Arial"/>
          <w:sz w:val="24"/>
          <w:szCs w:val="24"/>
        </w:rPr>
        <w:t>CP</w:t>
      </w:r>
      <w:r w:rsidR="006129E2">
        <w:rPr>
          <w:rStyle w:val="s2cc9b3cb1"/>
          <w:rFonts w:ascii="Arial" w:hAnsi="Arial" w:cs="Arial"/>
          <w:sz w:val="24"/>
          <w:szCs w:val="24"/>
        </w:rPr>
        <w:t xml:space="preserve"> </w:t>
      </w:r>
      <w:r w:rsidR="00B276E0" w:rsidRPr="002F2577">
        <w:rPr>
          <w:rStyle w:val="s2cc9b3cb1"/>
          <w:rFonts w:ascii="Arial" w:hAnsi="Arial" w:cs="Arial"/>
          <w:sz w:val="24"/>
          <w:szCs w:val="24"/>
        </w:rPr>
        <w:t xml:space="preserve">management and project managers to </w:t>
      </w:r>
      <w:r w:rsidR="000F5961">
        <w:rPr>
          <w:rStyle w:val="s2cc9b3cb1"/>
          <w:rFonts w:ascii="Arial" w:hAnsi="Arial" w:cs="Arial"/>
          <w:sz w:val="24"/>
          <w:szCs w:val="24"/>
        </w:rPr>
        <w:t xml:space="preserve">ascertain the </w:t>
      </w:r>
      <w:r w:rsidR="00B276E0" w:rsidRPr="002F2577">
        <w:rPr>
          <w:rStyle w:val="s2cc9b3cb1"/>
          <w:rFonts w:ascii="Arial" w:hAnsi="Arial" w:cs="Arial"/>
          <w:sz w:val="24"/>
          <w:szCs w:val="24"/>
        </w:rPr>
        <w:t xml:space="preserve">departmental processes and controls </w:t>
      </w:r>
      <w:r w:rsidR="00DC42FF">
        <w:rPr>
          <w:rStyle w:val="s2cc9b3cb1"/>
          <w:rFonts w:ascii="Arial" w:hAnsi="Arial" w:cs="Arial"/>
          <w:sz w:val="24"/>
          <w:szCs w:val="24"/>
        </w:rPr>
        <w:t xml:space="preserve">established </w:t>
      </w:r>
      <w:r w:rsidR="00B276E0" w:rsidRPr="002F2577">
        <w:rPr>
          <w:rStyle w:val="s2cc9b3cb1"/>
          <w:rFonts w:ascii="Arial" w:hAnsi="Arial" w:cs="Arial"/>
          <w:sz w:val="24"/>
          <w:szCs w:val="24"/>
        </w:rPr>
        <w:t xml:space="preserve">over timely implementation of the </w:t>
      </w:r>
      <w:r w:rsidR="00B276E0" w:rsidRPr="002F2577">
        <w:rPr>
          <w:rStyle w:val="sbe40fc821"/>
        </w:rPr>
        <w:t>UCIP in applicable capital project bid documents</w:t>
      </w:r>
      <w:r w:rsidR="00B276E0" w:rsidRPr="002F2577">
        <w:rPr>
          <w:rStyle w:val="s51202cb41"/>
        </w:rPr>
        <w:t xml:space="preserve">. </w:t>
      </w:r>
      <w:r w:rsidR="006B51F6">
        <w:rPr>
          <w:rStyle w:val="s51202cb41"/>
        </w:rPr>
        <w:t xml:space="preserve"> </w:t>
      </w:r>
      <w:r w:rsidR="003F4F7A">
        <w:rPr>
          <w:rStyle w:val="s51202cb41"/>
        </w:rPr>
        <w:t>A&amp;AS</w:t>
      </w:r>
      <w:r w:rsidR="00605FBA">
        <w:rPr>
          <w:rStyle w:val="s51202cb41"/>
        </w:rPr>
        <w:t xml:space="preserve"> </w:t>
      </w:r>
      <w:r w:rsidR="00301FBC">
        <w:rPr>
          <w:rStyle w:val="s51202cb41"/>
        </w:rPr>
        <w:t xml:space="preserve">also </w:t>
      </w:r>
      <w:r w:rsidR="00B276E0" w:rsidRPr="002F2577">
        <w:rPr>
          <w:rStyle w:val="s51202cb41"/>
        </w:rPr>
        <w:t>review</w:t>
      </w:r>
      <w:r w:rsidR="00605FBA">
        <w:rPr>
          <w:rStyle w:val="s51202cb41"/>
        </w:rPr>
        <w:t xml:space="preserve">ed </w:t>
      </w:r>
      <w:r w:rsidR="00B276E0" w:rsidRPr="002F2577">
        <w:rPr>
          <w:rStyle w:val="s51202cb41"/>
        </w:rPr>
        <w:t xml:space="preserve">the UC </w:t>
      </w:r>
      <w:r w:rsidR="00B276E0" w:rsidRPr="002F2577">
        <w:t xml:space="preserve">Major Capital Projects Implementation information dated November 3, 2011, and relevant sections of the UC Facilities Manual. </w:t>
      </w:r>
      <w:r w:rsidR="00510276">
        <w:t xml:space="preserve"> </w:t>
      </w:r>
      <w:r w:rsidR="00B276E0" w:rsidRPr="002F2577">
        <w:t xml:space="preserve">For our three test projects with budgeted costs greater than $25 million, supporting documentation including “advertisement for bids” was obtained from </w:t>
      </w:r>
      <w:r w:rsidR="00383DC7">
        <w:t xml:space="preserve">department </w:t>
      </w:r>
      <w:r w:rsidR="00B276E0" w:rsidRPr="002F2577">
        <w:t xml:space="preserve">management and evaluated for timely inclusion of the UCIP terms and conditions. </w:t>
      </w:r>
    </w:p>
    <w:p w:rsidR="00B276E0" w:rsidRPr="002F2577" w:rsidRDefault="00B276E0" w:rsidP="00B276E0">
      <w:pPr>
        <w:pStyle w:val="NoSpacing"/>
        <w:spacing w:line="360" w:lineRule="auto"/>
        <w:jc w:val="both"/>
        <w:rPr>
          <w:rStyle w:val="s2cc9b3cb1"/>
          <w:rFonts w:ascii="Arial" w:hAnsi="Arial" w:cs="Arial"/>
          <w:sz w:val="24"/>
          <w:szCs w:val="24"/>
        </w:rPr>
      </w:pPr>
    </w:p>
    <w:p w:rsidR="00B276E0" w:rsidRPr="002F2577" w:rsidRDefault="00B276E0" w:rsidP="00B276E0">
      <w:pPr>
        <w:pStyle w:val="nospacing0"/>
        <w:spacing w:line="360" w:lineRule="auto"/>
        <w:jc w:val="both"/>
      </w:pPr>
      <w:r w:rsidRPr="002F2577">
        <w:t xml:space="preserve">UCIP information </w:t>
      </w:r>
      <w:r w:rsidR="003426B3">
        <w:t xml:space="preserve">must be </w:t>
      </w:r>
      <w:r w:rsidRPr="002F2577">
        <w:t>incorporated into each project’s solicitation package (bid documents), all advertisements for bids, and all pre-proposal meetings, etc.</w:t>
      </w:r>
      <w:r w:rsidR="00CF68FE">
        <w:t>,</w:t>
      </w:r>
      <w:r w:rsidRPr="002F2577">
        <w:t xml:space="preserve"> for capital project bidders to communicate the University’s intent</w:t>
      </w:r>
      <w:r w:rsidR="00CF68FE">
        <w:t>ion</w:t>
      </w:r>
      <w:r w:rsidRPr="002F2577">
        <w:t xml:space="preserve"> to use UCIP coverage. </w:t>
      </w:r>
      <w:r w:rsidR="006B51F6">
        <w:t xml:space="preserve"> </w:t>
      </w:r>
      <w:r w:rsidRPr="002F2577">
        <w:t xml:space="preserve">The three test projects have “advertisement for bid” dates prior to January 2010. </w:t>
      </w:r>
      <w:r w:rsidR="00CF68FE">
        <w:t xml:space="preserve"> </w:t>
      </w:r>
      <w:r w:rsidRPr="002F2577">
        <w:t>Per UCOP</w:t>
      </w:r>
      <w:r w:rsidR="00212761">
        <w:t xml:space="preserve"> </w:t>
      </w:r>
      <w:r w:rsidRPr="002F2577">
        <w:t>Risk Management</w:t>
      </w:r>
      <w:r w:rsidR="00212761">
        <w:t xml:space="preserve"> </w:t>
      </w:r>
      <w:r w:rsidR="002B73DD">
        <w:t>staff</w:t>
      </w:r>
      <w:r w:rsidRPr="002F2577">
        <w:t xml:space="preserve">, projects issued for bid prior to the UCIP implementation date were not required to have UCIP associated with the contract, even in instances where the bid opening date was after the UCIP implementation date. </w:t>
      </w:r>
      <w:r w:rsidR="006B51F6">
        <w:t xml:space="preserve"> </w:t>
      </w:r>
      <w:r w:rsidR="00436821">
        <w:t xml:space="preserve">Consequently, </w:t>
      </w:r>
      <w:r w:rsidRPr="002F2577">
        <w:t xml:space="preserve">there were no final invoices for the UCIP to test for </w:t>
      </w:r>
      <w:r w:rsidR="000C38E0">
        <w:t xml:space="preserve">timely submittal </w:t>
      </w:r>
      <w:r w:rsidRPr="002F2577">
        <w:t xml:space="preserve">relative to project close-out. </w:t>
      </w:r>
    </w:p>
    <w:p w:rsidR="00B276E0" w:rsidRPr="002F2577" w:rsidRDefault="00B276E0" w:rsidP="00B276E0">
      <w:pPr>
        <w:pStyle w:val="NoSpacing"/>
        <w:spacing w:line="360" w:lineRule="auto"/>
        <w:jc w:val="both"/>
      </w:pPr>
    </w:p>
    <w:p w:rsidR="006B51F6" w:rsidRPr="002F2577" w:rsidRDefault="006B51F6" w:rsidP="006B51F6">
      <w:pPr>
        <w:pStyle w:val="nospacing0"/>
        <w:spacing w:line="360" w:lineRule="auto"/>
        <w:jc w:val="both"/>
      </w:pPr>
      <w:r>
        <w:t xml:space="preserve">There were no </w:t>
      </w:r>
      <w:r w:rsidRPr="002F2577">
        <w:t xml:space="preserve">significant control </w:t>
      </w:r>
      <w:r>
        <w:t xml:space="preserve">weaknesses noted </w:t>
      </w:r>
      <w:r w:rsidRPr="002F2577">
        <w:t>in this area.</w:t>
      </w:r>
    </w:p>
    <w:p w:rsidR="00B276E0" w:rsidRDefault="00B276E0" w:rsidP="00B276E0">
      <w:pPr>
        <w:pStyle w:val="nospacing0"/>
        <w:spacing w:line="360" w:lineRule="auto"/>
        <w:jc w:val="both"/>
        <w:rPr>
          <w:rStyle w:val="s2cc9b3cb1"/>
          <w:rFonts w:ascii="Arial" w:hAnsi="Arial" w:cs="Arial"/>
          <w:sz w:val="24"/>
          <w:szCs w:val="24"/>
        </w:rPr>
      </w:pPr>
    </w:p>
    <w:p w:rsidR="00F26536" w:rsidRPr="002F2577" w:rsidRDefault="00F26536" w:rsidP="00B276E0">
      <w:pPr>
        <w:pStyle w:val="nospacing0"/>
        <w:spacing w:line="360" w:lineRule="auto"/>
        <w:jc w:val="both"/>
        <w:rPr>
          <w:rStyle w:val="s2cc9b3cb1"/>
          <w:rFonts w:ascii="Arial" w:hAnsi="Arial" w:cs="Arial"/>
          <w:sz w:val="24"/>
          <w:szCs w:val="24"/>
        </w:rPr>
      </w:pPr>
    </w:p>
    <w:p w:rsidR="00B276E0" w:rsidRPr="002F2577" w:rsidRDefault="00235330" w:rsidP="003F4F7A">
      <w:pPr>
        <w:pStyle w:val="nospacing0"/>
        <w:spacing w:line="360" w:lineRule="auto"/>
        <w:jc w:val="center"/>
        <w:rPr>
          <w:rStyle w:val="s2cc9b3cb1"/>
          <w:rFonts w:ascii="Arial" w:hAnsi="Arial" w:cs="Arial"/>
          <w:sz w:val="24"/>
          <w:szCs w:val="24"/>
          <w:u w:val="single"/>
        </w:rPr>
      </w:pPr>
      <w:r>
        <w:rPr>
          <w:rStyle w:val="s2cc9b3cb1"/>
          <w:rFonts w:ascii="Arial" w:hAnsi="Arial" w:cs="Arial"/>
          <w:sz w:val="24"/>
          <w:szCs w:val="24"/>
          <w:u w:val="single"/>
        </w:rPr>
        <w:t xml:space="preserve">Post-Completion </w:t>
      </w:r>
      <w:r w:rsidR="00B276E0" w:rsidRPr="002F2577">
        <w:rPr>
          <w:rStyle w:val="s2cc9b3cb1"/>
          <w:rFonts w:ascii="Arial" w:hAnsi="Arial" w:cs="Arial"/>
          <w:sz w:val="24"/>
          <w:szCs w:val="24"/>
          <w:u w:val="single"/>
        </w:rPr>
        <w:t>Capital Improvement Budget</w:t>
      </w:r>
    </w:p>
    <w:p w:rsidR="00B276E0" w:rsidRPr="002F2577" w:rsidRDefault="00B276E0" w:rsidP="003F4F7A">
      <w:pPr>
        <w:pStyle w:val="nospacing0"/>
        <w:spacing w:line="360" w:lineRule="auto"/>
        <w:jc w:val="both"/>
        <w:rPr>
          <w:rStyle w:val="s2cc9b3cb1"/>
          <w:rFonts w:ascii="Arial" w:hAnsi="Arial" w:cs="Arial"/>
          <w:sz w:val="24"/>
          <w:szCs w:val="24"/>
          <w:u w:val="single"/>
        </w:rPr>
      </w:pPr>
    </w:p>
    <w:p w:rsidR="00B276E0" w:rsidRPr="002F2577" w:rsidRDefault="00C36678" w:rsidP="003F4F7A">
      <w:pPr>
        <w:pStyle w:val="normalweb0"/>
        <w:spacing w:before="0" w:after="0" w:line="360" w:lineRule="auto"/>
        <w:jc w:val="both"/>
        <w:rPr>
          <w:rFonts w:ascii="Arial" w:hAnsi="Arial" w:cs="Arial"/>
        </w:rPr>
      </w:pPr>
      <w:r w:rsidRPr="002F2577">
        <w:rPr>
          <w:rFonts w:ascii="Arial" w:hAnsi="Arial" w:cs="Arial"/>
        </w:rPr>
        <w:t>A post-completion CIB is prepared from project information contained within the CP CapSTAR system</w:t>
      </w:r>
      <w:r w:rsidR="00095713">
        <w:rPr>
          <w:rFonts w:ascii="Arial" w:hAnsi="Arial" w:cs="Arial"/>
        </w:rPr>
        <w:t xml:space="preserve">.  </w:t>
      </w:r>
      <w:r w:rsidR="00095713" w:rsidRPr="0059258F">
        <w:rPr>
          <w:rFonts w:ascii="Arial" w:hAnsi="Arial" w:cs="Arial"/>
        </w:rPr>
        <w:t xml:space="preserve">It </w:t>
      </w:r>
      <w:r w:rsidRPr="0059258F">
        <w:rPr>
          <w:rFonts w:ascii="Arial" w:hAnsi="Arial" w:cs="Arial"/>
        </w:rPr>
        <w:t>functions as a timeline that provides a comparison of certain financial aspects of capital project</w:t>
      </w:r>
      <w:r w:rsidR="00095713" w:rsidRPr="0059258F">
        <w:rPr>
          <w:rFonts w:ascii="Arial" w:hAnsi="Arial" w:cs="Arial"/>
        </w:rPr>
        <w:t>s with</w:t>
      </w:r>
      <w:r w:rsidR="00AD4FB7" w:rsidRPr="0059258F">
        <w:rPr>
          <w:rFonts w:ascii="Arial" w:hAnsi="Arial" w:cs="Arial"/>
        </w:rPr>
        <w:t xml:space="preserve"> </w:t>
      </w:r>
      <w:r w:rsidR="00B276E0" w:rsidRPr="0059258F">
        <w:rPr>
          <w:rFonts w:ascii="Arial" w:hAnsi="Arial" w:cs="Arial"/>
        </w:rPr>
        <w:t>budgeted cost</w:t>
      </w:r>
      <w:r w:rsidR="00AD4FB7" w:rsidRPr="0059258F">
        <w:rPr>
          <w:rFonts w:ascii="Arial" w:hAnsi="Arial" w:cs="Arial"/>
        </w:rPr>
        <w:t>s</w:t>
      </w:r>
      <w:r w:rsidR="00B276E0" w:rsidRPr="0059258F">
        <w:rPr>
          <w:rFonts w:ascii="Arial" w:hAnsi="Arial" w:cs="Arial"/>
        </w:rPr>
        <w:t xml:space="preserve"> </w:t>
      </w:r>
      <w:r w:rsidR="00AD4FB7" w:rsidRPr="0059258F">
        <w:rPr>
          <w:rFonts w:ascii="Arial" w:hAnsi="Arial" w:cs="Arial"/>
        </w:rPr>
        <w:t xml:space="preserve">exceeding </w:t>
      </w:r>
      <w:r w:rsidR="00B276E0" w:rsidRPr="0059258F">
        <w:rPr>
          <w:rFonts w:ascii="Arial" w:hAnsi="Arial" w:cs="Arial"/>
        </w:rPr>
        <w:t xml:space="preserve"> $10 million. </w:t>
      </w:r>
      <w:r w:rsidR="006B51F6" w:rsidRPr="0059258F">
        <w:rPr>
          <w:rFonts w:ascii="Arial" w:hAnsi="Arial" w:cs="Arial"/>
        </w:rPr>
        <w:t xml:space="preserve"> </w:t>
      </w:r>
      <w:r w:rsidR="00B276E0" w:rsidRPr="0059258F">
        <w:rPr>
          <w:rFonts w:ascii="Arial" w:hAnsi="Arial" w:cs="Arial"/>
        </w:rPr>
        <w:t>For capital projects with budget</w:t>
      </w:r>
      <w:r w:rsidR="00B96D0D" w:rsidRPr="0059258F">
        <w:rPr>
          <w:rFonts w:ascii="Arial" w:hAnsi="Arial" w:cs="Arial"/>
        </w:rPr>
        <w:t>ed</w:t>
      </w:r>
      <w:r w:rsidR="00B276E0" w:rsidRPr="0059258F">
        <w:rPr>
          <w:rFonts w:ascii="Arial" w:hAnsi="Arial" w:cs="Arial"/>
        </w:rPr>
        <w:t xml:space="preserve"> cost</w:t>
      </w:r>
      <w:r w:rsidR="00A7606D" w:rsidRPr="0059258F">
        <w:rPr>
          <w:rFonts w:ascii="Arial" w:hAnsi="Arial" w:cs="Arial"/>
        </w:rPr>
        <w:t>s</w:t>
      </w:r>
      <w:r w:rsidR="00B276E0" w:rsidRPr="0059258F">
        <w:rPr>
          <w:rFonts w:ascii="Arial" w:hAnsi="Arial" w:cs="Arial"/>
        </w:rPr>
        <w:t xml:space="preserve"> o</w:t>
      </w:r>
      <w:r w:rsidR="00182D28" w:rsidRPr="0059258F">
        <w:rPr>
          <w:rFonts w:ascii="Arial" w:hAnsi="Arial" w:cs="Arial"/>
        </w:rPr>
        <w:t>f less than $10 million,</w:t>
      </w:r>
      <w:r w:rsidR="00182D28">
        <w:rPr>
          <w:rFonts w:ascii="Arial" w:hAnsi="Arial" w:cs="Arial"/>
        </w:rPr>
        <w:t xml:space="preserve"> a post-</w:t>
      </w:r>
      <w:r w:rsidR="00B276E0" w:rsidRPr="002F2577">
        <w:rPr>
          <w:rFonts w:ascii="Arial" w:hAnsi="Arial" w:cs="Arial"/>
        </w:rPr>
        <w:t xml:space="preserve">completion </w:t>
      </w:r>
      <w:r w:rsidR="00A7606D">
        <w:rPr>
          <w:rFonts w:ascii="Arial" w:hAnsi="Arial" w:cs="Arial"/>
        </w:rPr>
        <w:t xml:space="preserve">CIB </w:t>
      </w:r>
      <w:r w:rsidR="00B276E0" w:rsidRPr="002F2577">
        <w:rPr>
          <w:rFonts w:ascii="Arial" w:hAnsi="Arial" w:cs="Arial"/>
        </w:rPr>
        <w:t>close-out letter is prepared</w:t>
      </w:r>
      <w:r w:rsidR="00904540">
        <w:rPr>
          <w:rFonts w:ascii="Arial" w:hAnsi="Arial" w:cs="Arial"/>
        </w:rPr>
        <w:t xml:space="preserve">. </w:t>
      </w:r>
      <w:r w:rsidR="008814C2">
        <w:rPr>
          <w:rFonts w:ascii="Arial" w:hAnsi="Arial" w:cs="Arial"/>
        </w:rPr>
        <w:t xml:space="preserve"> </w:t>
      </w:r>
      <w:r w:rsidR="00904540">
        <w:rPr>
          <w:rFonts w:ascii="Arial" w:hAnsi="Arial" w:cs="Arial"/>
        </w:rPr>
        <w:t xml:space="preserve">The post-completion CIB </w:t>
      </w:r>
      <w:r w:rsidR="00450AF4">
        <w:rPr>
          <w:rFonts w:ascii="Arial" w:hAnsi="Arial" w:cs="Arial"/>
        </w:rPr>
        <w:t xml:space="preserve">close-out </w:t>
      </w:r>
      <w:r w:rsidR="00904540">
        <w:rPr>
          <w:rFonts w:ascii="Arial" w:hAnsi="Arial" w:cs="Arial"/>
        </w:rPr>
        <w:t xml:space="preserve">letter provides less detail since smaller projects tend to have one general contractor and are usually less complex. </w:t>
      </w:r>
      <w:r w:rsidR="008814C2">
        <w:rPr>
          <w:rFonts w:ascii="Arial" w:hAnsi="Arial" w:cs="Arial"/>
        </w:rPr>
        <w:t xml:space="preserve"> </w:t>
      </w:r>
      <w:r w:rsidR="00904540">
        <w:rPr>
          <w:rFonts w:ascii="Arial" w:hAnsi="Arial" w:cs="Arial"/>
        </w:rPr>
        <w:t>B</w:t>
      </w:r>
      <w:r w:rsidR="001363B4">
        <w:rPr>
          <w:rFonts w:ascii="Arial" w:hAnsi="Arial" w:cs="Arial"/>
        </w:rPr>
        <w:t xml:space="preserve">oth </w:t>
      </w:r>
      <w:r w:rsidR="00904540">
        <w:rPr>
          <w:rFonts w:ascii="Arial" w:hAnsi="Arial" w:cs="Arial"/>
        </w:rPr>
        <w:t>the post-completion CIB and post-completion CIB</w:t>
      </w:r>
      <w:r w:rsidR="00450AF4">
        <w:rPr>
          <w:rFonts w:ascii="Arial" w:hAnsi="Arial" w:cs="Arial"/>
        </w:rPr>
        <w:t xml:space="preserve"> close-out</w:t>
      </w:r>
      <w:r w:rsidR="00904540">
        <w:rPr>
          <w:rFonts w:ascii="Arial" w:hAnsi="Arial" w:cs="Arial"/>
        </w:rPr>
        <w:t xml:space="preserve"> letter </w:t>
      </w:r>
      <w:r w:rsidR="001363B4">
        <w:rPr>
          <w:rFonts w:ascii="Arial" w:hAnsi="Arial" w:cs="Arial"/>
        </w:rPr>
        <w:t xml:space="preserve">are transmitted to the Vice Chancellor </w:t>
      </w:r>
      <w:r w:rsidR="00616BFB">
        <w:rPr>
          <w:rFonts w:ascii="Arial" w:hAnsi="Arial" w:cs="Arial"/>
        </w:rPr>
        <w:t>and Chief Financial Officer</w:t>
      </w:r>
      <w:r w:rsidR="001363B4">
        <w:rPr>
          <w:rFonts w:ascii="Arial" w:hAnsi="Arial" w:cs="Arial"/>
        </w:rPr>
        <w:t>.</w:t>
      </w:r>
      <w:r w:rsidR="006B51F6">
        <w:rPr>
          <w:rFonts w:ascii="Arial" w:hAnsi="Arial" w:cs="Arial"/>
        </w:rPr>
        <w:t xml:space="preserve"> </w:t>
      </w:r>
      <w:r w:rsidR="008814C2">
        <w:rPr>
          <w:rFonts w:ascii="Arial" w:hAnsi="Arial" w:cs="Arial"/>
        </w:rPr>
        <w:t xml:space="preserve"> </w:t>
      </w:r>
      <w:r w:rsidR="0059258F">
        <w:rPr>
          <w:rStyle w:val="s51202cb41"/>
        </w:rPr>
        <w:t>A&amp;AS</w:t>
      </w:r>
      <w:r w:rsidR="00B276E0" w:rsidRPr="002F2577">
        <w:rPr>
          <w:rStyle w:val="s51202cb41"/>
        </w:rPr>
        <w:t xml:space="preserve"> reviewed the </w:t>
      </w:r>
      <w:r w:rsidR="00B276E0" w:rsidRPr="002F2577">
        <w:rPr>
          <w:rFonts w:ascii="Arial" w:hAnsi="Arial" w:cs="Arial"/>
        </w:rPr>
        <w:t xml:space="preserve">post-completion </w:t>
      </w:r>
      <w:r w:rsidR="00860E0E" w:rsidRPr="0059258F">
        <w:rPr>
          <w:rFonts w:ascii="Arial" w:hAnsi="Arial" w:cs="Arial"/>
        </w:rPr>
        <w:t xml:space="preserve">CIBs </w:t>
      </w:r>
      <w:r w:rsidR="00B276E0" w:rsidRPr="0059258F">
        <w:rPr>
          <w:rFonts w:ascii="Arial" w:hAnsi="Arial" w:cs="Arial"/>
        </w:rPr>
        <w:t xml:space="preserve">and </w:t>
      </w:r>
      <w:r w:rsidR="00450AF4">
        <w:rPr>
          <w:rFonts w:ascii="Arial" w:hAnsi="Arial" w:cs="Arial"/>
        </w:rPr>
        <w:t xml:space="preserve">close-out </w:t>
      </w:r>
      <w:r w:rsidR="00B276E0" w:rsidRPr="0059258F">
        <w:rPr>
          <w:rFonts w:ascii="Arial" w:hAnsi="Arial" w:cs="Arial"/>
        </w:rPr>
        <w:t>letters</w:t>
      </w:r>
      <w:r w:rsidR="00B276E0" w:rsidRPr="002F2577">
        <w:rPr>
          <w:rFonts w:ascii="Arial" w:hAnsi="Arial" w:cs="Arial"/>
        </w:rPr>
        <w:t xml:space="preserve"> to determine their date of issuance relative to the project plant account close-out.</w:t>
      </w:r>
    </w:p>
    <w:p w:rsidR="00B276E0" w:rsidRPr="002F2577" w:rsidRDefault="00B276E0" w:rsidP="00B276E0">
      <w:pPr>
        <w:rPr>
          <w:rFonts w:ascii="Arial" w:hAnsi="Arial" w:cs="Arial"/>
        </w:rPr>
      </w:pPr>
    </w:p>
    <w:p w:rsidR="00B276E0" w:rsidRDefault="00296831" w:rsidP="003F4F7A">
      <w:pPr>
        <w:pStyle w:val="NoSpacing"/>
        <w:spacing w:line="360" w:lineRule="auto"/>
        <w:ind w:left="540" w:hanging="540"/>
        <w:jc w:val="both"/>
        <w:rPr>
          <w:u w:val="single"/>
        </w:rPr>
      </w:pPr>
      <w:r>
        <w:t xml:space="preserve">A.   </w:t>
      </w:r>
      <w:r w:rsidR="00D1638E">
        <w:t xml:space="preserve"> </w:t>
      </w:r>
      <w:r w:rsidR="003F4F7A">
        <w:tab/>
      </w:r>
      <w:r w:rsidR="00D1638E" w:rsidRPr="00D1638E">
        <w:rPr>
          <w:u w:val="single"/>
        </w:rPr>
        <w:t xml:space="preserve">Post-Completion </w:t>
      </w:r>
      <w:r w:rsidR="00D1638E">
        <w:rPr>
          <w:u w:val="single"/>
        </w:rPr>
        <w:t xml:space="preserve">Capital Improvement Budget </w:t>
      </w:r>
      <w:r w:rsidR="00450AF4">
        <w:rPr>
          <w:u w:val="single"/>
        </w:rPr>
        <w:t xml:space="preserve">Close-out </w:t>
      </w:r>
      <w:r w:rsidR="00D1638E" w:rsidRPr="00D1638E">
        <w:rPr>
          <w:u w:val="single"/>
        </w:rPr>
        <w:t>Letter</w:t>
      </w:r>
    </w:p>
    <w:p w:rsidR="00D1638E" w:rsidRDefault="00D1638E" w:rsidP="003F4F7A">
      <w:pPr>
        <w:pStyle w:val="NoSpacing"/>
        <w:spacing w:line="360" w:lineRule="auto"/>
        <w:jc w:val="both"/>
        <w:rPr>
          <w:u w:val="single"/>
        </w:rPr>
      </w:pPr>
    </w:p>
    <w:p w:rsidR="00D1638E" w:rsidRPr="00D1638E" w:rsidRDefault="00D1638E" w:rsidP="003F4F7A">
      <w:pPr>
        <w:suppressAutoHyphens w:val="0"/>
        <w:autoSpaceDE w:val="0"/>
        <w:autoSpaceDN w:val="0"/>
        <w:adjustRightInd w:val="0"/>
        <w:spacing w:line="360" w:lineRule="auto"/>
        <w:ind w:left="547"/>
        <w:jc w:val="both"/>
        <w:rPr>
          <w:rFonts w:ascii="Arial" w:hAnsi="Arial"/>
          <w:lang w:eastAsia="en-US"/>
        </w:rPr>
      </w:pPr>
      <w:r w:rsidRPr="00D1638E">
        <w:rPr>
          <w:rFonts w:ascii="Arial" w:hAnsi="Arial"/>
          <w:lang w:eastAsia="en-US"/>
        </w:rPr>
        <w:t>One of three capital projects tested ha</w:t>
      </w:r>
      <w:r w:rsidR="003F4F7A">
        <w:rPr>
          <w:rFonts w:ascii="Arial" w:hAnsi="Arial"/>
          <w:lang w:eastAsia="en-US"/>
        </w:rPr>
        <w:t>d</w:t>
      </w:r>
      <w:r w:rsidRPr="00D1638E">
        <w:rPr>
          <w:rFonts w:ascii="Arial" w:hAnsi="Arial"/>
          <w:lang w:eastAsia="en-US"/>
        </w:rPr>
        <w:t xml:space="preserve"> a post-completion </w:t>
      </w:r>
      <w:r w:rsidR="00A61011">
        <w:rPr>
          <w:rFonts w:ascii="Arial" w:hAnsi="Arial"/>
          <w:lang w:eastAsia="en-US"/>
        </w:rPr>
        <w:t xml:space="preserve">CIB </w:t>
      </w:r>
      <w:r w:rsidR="00450AF4">
        <w:rPr>
          <w:rFonts w:ascii="Arial" w:hAnsi="Arial"/>
          <w:lang w:eastAsia="en-US"/>
        </w:rPr>
        <w:t xml:space="preserve">close-out </w:t>
      </w:r>
      <w:r w:rsidRPr="00D1638E">
        <w:rPr>
          <w:rFonts w:ascii="Arial" w:hAnsi="Arial"/>
          <w:lang w:eastAsia="en-US"/>
        </w:rPr>
        <w:t xml:space="preserve">letter that was issued on January 19, 2016, 22 months after the project’s plant account was closed on March 21, 2014. </w:t>
      </w:r>
      <w:r w:rsidR="006B51F6">
        <w:rPr>
          <w:rFonts w:ascii="Arial" w:hAnsi="Arial"/>
          <w:lang w:eastAsia="en-US"/>
        </w:rPr>
        <w:t xml:space="preserve"> </w:t>
      </w:r>
      <w:r w:rsidRPr="00D1638E">
        <w:rPr>
          <w:rFonts w:ascii="Arial" w:hAnsi="Arial"/>
          <w:lang w:eastAsia="en-US"/>
        </w:rPr>
        <w:t>The post-completion CIB</w:t>
      </w:r>
      <w:r w:rsidR="00450AF4">
        <w:rPr>
          <w:rFonts w:ascii="Arial" w:hAnsi="Arial"/>
          <w:lang w:eastAsia="en-US"/>
        </w:rPr>
        <w:t xml:space="preserve"> close-out</w:t>
      </w:r>
      <w:r w:rsidRPr="00D1638E">
        <w:rPr>
          <w:rFonts w:ascii="Arial" w:hAnsi="Arial"/>
          <w:lang w:eastAsia="en-US"/>
        </w:rPr>
        <w:t xml:space="preserve"> letter and its cost data function as a financial chronology by capital project expense type, is prepared at the physical close of a project </w:t>
      </w:r>
      <w:r w:rsidR="0013711B">
        <w:rPr>
          <w:rFonts w:ascii="Arial" w:hAnsi="Arial"/>
          <w:lang w:eastAsia="en-US"/>
        </w:rPr>
        <w:t>by the Assistant Director</w:t>
      </w:r>
      <w:r w:rsidR="00304F5D">
        <w:rPr>
          <w:rFonts w:ascii="Arial" w:hAnsi="Arial"/>
          <w:lang w:eastAsia="en-US"/>
        </w:rPr>
        <w:t xml:space="preserve"> for </w:t>
      </w:r>
      <w:r w:rsidR="0013711B">
        <w:rPr>
          <w:rFonts w:ascii="Arial" w:hAnsi="Arial"/>
          <w:lang w:eastAsia="en-US"/>
        </w:rPr>
        <w:t xml:space="preserve">Planning &amp; </w:t>
      </w:r>
      <w:r w:rsidR="00C42560">
        <w:rPr>
          <w:rFonts w:ascii="Arial" w:hAnsi="Arial"/>
          <w:lang w:eastAsia="en-US"/>
        </w:rPr>
        <w:t>Finance</w:t>
      </w:r>
      <w:r w:rsidR="0013711B">
        <w:rPr>
          <w:rFonts w:ascii="Arial" w:hAnsi="Arial"/>
          <w:lang w:eastAsia="en-US"/>
        </w:rPr>
        <w:t xml:space="preserve"> – Capital Programs</w:t>
      </w:r>
      <w:r w:rsidR="00134E8F">
        <w:rPr>
          <w:rFonts w:ascii="Arial" w:hAnsi="Arial"/>
          <w:lang w:eastAsia="en-US"/>
        </w:rPr>
        <w:t xml:space="preserve"> </w:t>
      </w:r>
      <w:r w:rsidRPr="00D1638E">
        <w:rPr>
          <w:rFonts w:ascii="Arial" w:hAnsi="Arial"/>
          <w:lang w:eastAsia="en-US"/>
        </w:rPr>
        <w:t xml:space="preserve">(which is prior to its financial close), and is </w:t>
      </w:r>
      <w:r w:rsidR="008A592B">
        <w:rPr>
          <w:rFonts w:ascii="Arial" w:hAnsi="Arial"/>
          <w:lang w:eastAsia="en-US"/>
        </w:rPr>
        <w:t xml:space="preserve">used </w:t>
      </w:r>
      <w:r w:rsidRPr="00D1638E">
        <w:rPr>
          <w:rFonts w:ascii="Arial" w:hAnsi="Arial"/>
          <w:lang w:eastAsia="en-US"/>
        </w:rPr>
        <w:t>for projects that have a cost of less than $10 million.</w:t>
      </w:r>
      <w:r w:rsidR="006B51F6">
        <w:rPr>
          <w:rFonts w:ascii="Arial" w:hAnsi="Arial"/>
          <w:lang w:eastAsia="en-US"/>
        </w:rPr>
        <w:t xml:space="preserve"> </w:t>
      </w:r>
      <w:r w:rsidRPr="00D1638E">
        <w:rPr>
          <w:rFonts w:ascii="Arial" w:hAnsi="Arial"/>
          <w:lang w:eastAsia="en-US"/>
        </w:rPr>
        <w:t xml:space="preserve"> </w:t>
      </w:r>
      <w:r w:rsidR="00450AF4">
        <w:rPr>
          <w:rFonts w:ascii="Arial" w:hAnsi="Arial"/>
          <w:lang w:eastAsia="en-US"/>
        </w:rPr>
        <w:t>When</w:t>
      </w:r>
      <w:r w:rsidRPr="00D1638E">
        <w:rPr>
          <w:rFonts w:ascii="Arial" w:hAnsi="Arial"/>
          <w:lang w:eastAsia="en-US"/>
        </w:rPr>
        <w:t xml:space="preserve"> post-completion CIB</w:t>
      </w:r>
      <w:r w:rsidR="00450AF4">
        <w:rPr>
          <w:rFonts w:ascii="Arial" w:hAnsi="Arial"/>
          <w:lang w:eastAsia="en-US"/>
        </w:rPr>
        <w:t xml:space="preserve"> close-out</w:t>
      </w:r>
      <w:r w:rsidRPr="00D1638E">
        <w:rPr>
          <w:rFonts w:ascii="Arial" w:hAnsi="Arial"/>
          <w:lang w:eastAsia="en-US"/>
        </w:rPr>
        <w:t xml:space="preserve"> letter</w:t>
      </w:r>
      <w:r w:rsidR="00450AF4">
        <w:rPr>
          <w:rFonts w:ascii="Arial" w:hAnsi="Arial"/>
          <w:lang w:eastAsia="en-US"/>
        </w:rPr>
        <w:t>s</w:t>
      </w:r>
      <w:r w:rsidRPr="00D1638E">
        <w:rPr>
          <w:rFonts w:ascii="Arial" w:hAnsi="Arial"/>
          <w:lang w:eastAsia="en-US"/>
        </w:rPr>
        <w:t xml:space="preserve"> </w:t>
      </w:r>
      <w:r w:rsidR="00450AF4">
        <w:rPr>
          <w:rFonts w:ascii="Arial" w:hAnsi="Arial"/>
          <w:lang w:eastAsia="en-US"/>
        </w:rPr>
        <w:t xml:space="preserve">are not </w:t>
      </w:r>
      <w:r w:rsidRPr="00D1638E">
        <w:rPr>
          <w:rFonts w:ascii="Arial" w:hAnsi="Arial"/>
          <w:lang w:eastAsia="en-US"/>
        </w:rPr>
        <w:t xml:space="preserve">issued on a timely basis, capital investment decisions and related funding objectives may be affected </w:t>
      </w:r>
      <w:r w:rsidR="006E06AB">
        <w:rPr>
          <w:rFonts w:ascii="Arial" w:hAnsi="Arial"/>
          <w:lang w:eastAsia="en-US"/>
        </w:rPr>
        <w:t xml:space="preserve">by </w:t>
      </w:r>
      <w:r w:rsidRPr="00D1638E">
        <w:rPr>
          <w:rFonts w:ascii="Arial" w:hAnsi="Arial"/>
          <w:lang w:eastAsia="en-US"/>
        </w:rPr>
        <w:t xml:space="preserve">outdated information. </w:t>
      </w:r>
    </w:p>
    <w:p w:rsidR="00FB5FE6" w:rsidRDefault="00FB5FE6" w:rsidP="003F4F7A">
      <w:pPr>
        <w:spacing w:line="360" w:lineRule="auto"/>
        <w:ind w:left="547"/>
        <w:jc w:val="both"/>
        <w:rPr>
          <w:rFonts w:ascii="Arial" w:hAnsi="Arial" w:cs="Arial"/>
          <w:u w:val="single"/>
          <w:lang w:eastAsia="en-US"/>
        </w:rPr>
      </w:pPr>
    </w:p>
    <w:p w:rsidR="007C0E65" w:rsidRDefault="007C0E65" w:rsidP="003F4F7A">
      <w:pPr>
        <w:spacing w:line="360" w:lineRule="auto"/>
        <w:ind w:left="547"/>
        <w:jc w:val="both"/>
        <w:rPr>
          <w:rFonts w:ascii="Arial" w:hAnsi="Arial" w:cs="Arial"/>
          <w:lang w:eastAsia="en-US"/>
        </w:rPr>
      </w:pPr>
      <w:r w:rsidRPr="007C0E65">
        <w:rPr>
          <w:rFonts w:ascii="Arial" w:hAnsi="Arial" w:cs="Arial"/>
          <w:u w:val="single"/>
          <w:lang w:eastAsia="en-US"/>
        </w:rPr>
        <w:t>Recommendation</w:t>
      </w:r>
      <w:r w:rsidRPr="007C0E65">
        <w:rPr>
          <w:rFonts w:ascii="Arial" w:hAnsi="Arial" w:cs="Arial"/>
          <w:lang w:eastAsia="en-US"/>
        </w:rPr>
        <w:t xml:space="preserve">: </w:t>
      </w:r>
      <w:r w:rsidR="006B51F6">
        <w:rPr>
          <w:rFonts w:ascii="Arial" w:hAnsi="Arial" w:cs="Arial"/>
          <w:lang w:eastAsia="en-US"/>
        </w:rPr>
        <w:t xml:space="preserve"> </w:t>
      </w:r>
      <w:r w:rsidRPr="007C0E65">
        <w:rPr>
          <w:rFonts w:ascii="Arial" w:hAnsi="Arial" w:cs="Arial"/>
          <w:lang w:eastAsia="en-US"/>
        </w:rPr>
        <w:t xml:space="preserve">Management should strengthen its controls to ensure that post-completion </w:t>
      </w:r>
      <w:r w:rsidR="00456BBD" w:rsidRPr="0059258F">
        <w:rPr>
          <w:rFonts w:ascii="Arial" w:hAnsi="Arial" w:cs="Arial"/>
          <w:lang w:eastAsia="en-US"/>
        </w:rPr>
        <w:t xml:space="preserve">CIBs </w:t>
      </w:r>
      <w:r w:rsidR="000A5EF3" w:rsidRPr="0059258F">
        <w:rPr>
          <w:rFonts w:ascii="Arial" w:hAnsi="Arial" w:cs="Arial"/>
          <w:lang w:eastAsia="en-US"/>
        </w:rPr>
        <w:t xml:space="preserve">or </w:t>
      </w:r>
      <w:r w:rsidR="00450AF4">
        <w:rPr>
          <w:rFonts w:ascii="Arial" w:hAnsi="Arial" w:cs="Arial"/>
          <w:lang w:eastAsia="en-US"/>
        </w:rPr>
        <w:t xml:space="preserve">close-out </w:t>
      </w:r>
      <w:r w:rsidR="000A5EF3" w:rsidRPr="0059258F">
        <w:rPr>
          <w:rFonts w:ascii="Arial" w:hAnsi="Arial" w:cs="Arial"/>
          <w:lang w:eastAsia="en-US"/>
        </w:rPr>
        <w:t>letters</w:t>
      </w:r>
      <w:r w:rsidRPr="0059258F">
        <w:rPr>
          <w:rFonts w:ascii="Arial" w:hAnsi="Arial" w:cs="Arial"/>
          <w:lang w:eastAsia="en-US"/>
        </w:rPr>
        <w:t xml:space="preserve"> for all projects</w:t>
      </w:r>
      <w:r w:rsidRPr="007C0E65">
        <w:rPr>
          <w:rFonts w:ascii="Arial" w:hAnsi="Arial" w:cs="Arial"/>
          <w:lang w:eastAsia="en-US"/>
        </w:rPr>
        <w:t xml:space="preserve"> are prepared on a timely basis. </w:t>
      </w:r>
      <w:r w:rsidR="006B51F6">
        <w:rPr>
          <w:rFonts w:ascii="Arial" w:hAnsi="Arial" w:cs="Arial"/>
          <w:lang w:eastAsia="en-US"/>
        </w:rPr>
        <w:t xml:space="preserve"> </w:t>
      </w:r>
      <w:r w:rsidRPr="007C0E65">
        <w:rPr>
          <w:rFonts w:ascii="Arial" w:hAnsi="Arial" w:cs="Arial"/>
          <w:lang w:eastAsia="en-US"/>
        </w:rPr>
        <w:t xml:space="preserve">By doing so, management will have the most current post-completion CIB information </w:t>
      </w:r>
      <w:r w:rsidR="0062272D" w:rsidRPr="007C0E65">
        <w:rPr>
          <w:rFonts w:ascii="Arial" w:hAnsi="Arial" w:cs="Arial"/>
          <w:lang w:eastAsia="en-US"/>
        </w:rPr>
        <w:t xml:space="preserve">available </w:t>
      </w:r>
      <w:r w:rsidRPr="007C0E65">
        <w:rPr>
          <w:rFonts w:ascii="Arial" w:hAnsi="Arial" w:cs="Arial"/>
          <w:lang w:eastAsia="en-US"/>
        </w:rPr>
        <w:t xml:space="preserve">to use as an evaluation tool for a project’s capital improvement costs. </w:t>
      </w:r>
    </w:p>
    <w:p w:rsidR="00EB28FE" w:rsidRDefault="00EB28FE" w:rsidP="003F4F7A">
      <w:pPr>
        <w:spacing w:line="360" w:lineRule="auto"/>
        <w:ind w:left="547"/>
        <w:jc w:val="both"/>
        <w:rPr>
          <w:rFonts w:ascii="Arial" w:hAnsi="Arial" w:cs="Arial"/>
          <w:lang w:eastAsia="en-US"/>
        </w:rPr>
      </w:pPr>
    </w:p>
    <w:p w:rsidR="00EB28FE" w:rsidRPr="00994DF1" w:rsidRDefault="00EB28FE" w:rsidP="003F4F7A">
      <w:pPr>
        <w:spacing w:line="360" w:lineRule="auto"/>
        <w:ind w:left="547"/>
        <w:jc w:val="both"/>
        <w:rPr>
          <w:rFonts w:ascii="Arial" w:hAnsi="Arial" w:cs="Arial"/>
          <w:color w:val="000000" w:themeColor="text1"/>
          <w:lang w:eastAsia="en-US"/>
        </w:rPr>
      </w:pPr>
      <w:r w:rsidRPr="00EB28FE">
        <w:rPr>
          <w:rFonts w:ascii="Arial" w:hAnsi="Arial" w:cs="Arial"/>
          <w:u w:val="single"/>
          <w:lang w:eastAsia="en-US"/>
        </w:rPr>
        <w:t>Response</w:t>
      </w:r>
      <w:r>
        <w:rPr>
          <w:rFonts w:ascii="Arial" w:hAnsi="Arial" w:cs="Arial"/>
          <w:lang w:eastAsia="en-US"/>
        </w:rPr>
        <w:t xml:space="preserve">:  </w:t>
      </w:r>
      <w:r w:rsidR="00994DF1" w:rsidRPr="00994DF1">
        <w:rPr>
          <w:rFonts w:ascii="Arial" w:hAnsi="Arial" w:cs="Arial"/>
          <w:color w:val="000000" w:themeColor="text1"/>
          <w:lang w:eastAsia="en-US"/>
        </w:rPr>
        <w:t>Close-out CIBs are routinely prepared following the receipt of an automated notice from CapStar indicating that the account is no longer active.  The delayed release of the post-completion CIB cited above was an oversight.  It was discovered by our team during a periodic check of previously completed projects.</w:t>
      </w:r>
    </w:p>
    <w:p w:rsidR="00504575" w:rsidRDefault="00504575" w:rsidP="0059258F">
      <w:pPr>
        <w:pStyle w:val="NoSpacing"/>
        <w:spacing w:line="360" w:lineRule="auto"/>
        <w:rPr>
          <w:u w:val="single"/>
        </w:rPr>
      </w:pPr>
    </w:p>
    <w:p w:rsidR="00B276E0" w:rsidRPr="002F2577" w:rsidRDefault="00B276E0" w:rsidP="0059258F">
      <w:pPr>
        <w:pStyle w:val="NoSpacing"/>
        <w:spacing w:line="360" w:lineRule="auto"/>
        <w:jc w:val="center"/>
        <w:rPr>
          <w:u w:val="single"/>
        </w:rPr>
      </w:pPr>
      <w:r w:rsidRPr="002F2577">
        <w:rPr>
          <w:u w:val="single"/>
        </w:rPr>
        <w:t>Close-Out Process – Required Documentation</w:t>
      </w:r>
    </w:p>
    <w:p w:rsidR="00B276E0" w:rsidRPr="002F2577" w:rsidRDefault="00B276E0" w:rsidP="0059258F">
      <w:pPr>
        <w:pStyle w:val="NoSpacing"/>
        <w:spacing w:line="360" w:lineRule="auto"/>
        <w:jc w:val="both"/>
      </w:pPr>
    </w:p>
    <w:p w:rsidR="00B276E0" w:rsidRPr="002F2577" w:rsidRDefault="00B276E0" w:rsidP="00450AF4">
      <w:pPr>
        <w:pStyle w:val="NoSpacing"/>
        <w:spacing w:line="360" w:lineRule="auto"/>
        <w:jc w:val="both"/>
        <w:rPr>
          <w:color w:val="000000"/>
        </w:rPr>
      </w:pPr>
      <w:r w:rsidRPr="002F2577">
        <w:rPr>
          <w:rStyle w:val="s2cc9b3cb1"/>
          <w:rFonts w:ascii="Arial" w:hAnsi="Arial" w:cs="Arial"/>
          <w:sz w:val="24"/>
          <w:szCs w:val="24"/>
        </w:rPr>
        <w:t>R</w:t>
      </w:r>
      <w:r w:rsidRPr="002F2577">
        <w:t xml:space="preserve">elevant sections of the UC Facilities Manual were reviewed to identify required capital project </w:t>
      </w:r>
      <w:r w:rsidRPr="002F2577">
        <w:rPr>
          <w:rStyle w:val="s2cc9b3cb1"/>
          <w:rFonts w:ascii="Arial" w:hAnsi="Arial" w:cs="Arial"/>
          <w:sz w:val="24"/>
          <w:szCs w:val="24"/>
        </w:rPr>
        <w:t>close-out documentation to be delivered by</w:t>
      </w:r>
      <w:r w:rsidR="00DE1104">
        <w:rPr>
          <w:rStyle w:val="s2cc9b3cb1"/>
          <w:rFonts w:ascii="Arial" w:hAnsi="Arial" w:cs="Arial"/>
          <w:sz w:val="24"/>
          <w:szCs w:val="24"/>
        </w:rPr>
        <w:t xml:space="preserve"> the contractor to the Universit</w:t>
      </w:r>
      <w:r w:rsidRPr="002F2577">
        <w:rPr>
          <w:rStyle w:val="s2cc9b3cb1"/>
          <w:rFonts w:ascii="Arial" w:hAnsi="Arial" w:cs="Arial"/>
          <w:sz w:val="24"/>
          <w:szCs w:val="24"/>
        </w:rPr>
        <w:t xml:space="preserve">y representative. </w:t>
      </w:r>
      <w:r w:rsidR="006B51F6">
        <w:rPr>
          <w:rStyle w:val="s2cc9b3cb1"/>
          <w:rFonts w:ascii="Arial" w:hAnsi="Arial" w:cs="Arial"/>
          <w:sz w:val="24"/>
          <w:szCs w:val="24"/>
        </w:rPr>
        <w:t xml:space="preserve"> </w:t>
      </w:r>
      <w:r w:rsidRPr="002F2577">
        <w:rPr>
          <w:rStyle w:val="s2cc9b3cb1"/>
          <w:rFonts w:ascii="Arial" w:hAnsi="Arial" w:cs="Arial"/>
          <w:sz w:val="24"/>
          <w:szCs w:val="24"/>
        </w:rPr>
        <w:t>Supporting documentation including project submittal logs</w:t>
      </w:r>
      <w:r w:rsidRPr="002F2577">
        <w:rPr>
          <w:rStyle w:val="sbe40fc821"/>
        </w:rPr>
        <w:t>, certificates of occupancy, notices of completion, and contractor payment information was analyzed to verify timely receipt</w:t>
      </w:r>
      <w:r w:rsidR="000565DB">
        <w:rPr>
          <w:rStyle w:val="sbe40fc821"/>
        </w:rPr>
        <w:t xml:space="preserve">, </w:t>
      </w:r>
      <w:r w:rsidRPr="002F2577">
        <w:rPr>
          <w:rStyle w:val="sbe40fc821"/>
        </w:rPr>
        <w:t>filing prior to final payment</w:t>
      </w:r>
      <w:r w:rsidR="00111F17">
        <w:rPr>
          <w:rStyle w:val="sbe40fc821"/>
        </w:rPr>
        <w:t>,</w:t>
      </w:r>
      <w:r w:rsidR="000565DB">
        <w:rPr>
          <w:rStyle w:val="sbe40fc821"/>
        </w:rPr>
        <w:t xml:space="preserve"> </w:t>
      </w:r>
      <w:r w:rsidRPr="002F2577">
        <w:rPr>
          <w:rStyle w:val="sbe40fc821"/>
        </w:rPr>
        <w:t>or release of retention to the contractor.</w:t>
      </w:r>
    </w:p>
    <w:p w:rsidR="00450AF4" w:rsidRDefault="00450AF4" w:rsidP="00450AF4">
      <w:pPr>
        <w:spacing w:line="360" w:lineRule="auto"/>
        <w:rPr>
          <w:rStyle w:val="s2cc9b3cb1"/>
          <w:rFonts w:ascii="Arial" w:hAnsi="Arial" w:cs="Arial"/>
          <w:sz w:val="24"/>
          <w:szCs w:val="24"/>
        </w:rPr>
      </w:pPr>
    </w:p>
    <w:p w:rsidR="00450AF4" w:rsidRPr="00450AF4" w:rsidRDefault="00450AF4" w:rsidP="00450AF4">
      <w:pPr>
        <w:pStyle w:val="NoSpacing"/>
        <w:spacing w:line="360" w:lineRule="auto"/>
        <w:jc w:val="both"/>
        <w:rPr>
          <w:rStyle w:val="s2cc9b3cb1"/>
          <w:rFonts w:ascii="Arial" w:hAnsi="Arial" w:cs="Arial"/>
          <w:sz w:val="24"/>
          <w:szCs w:val="24"/>
        </w:rPr>
      </w:pPr>
      <w:r>
        <w:rPr>
          <w:rStyle w:val="s2cc9b3cb1"/>
          <w:rFonts w:ascii="Arial" w:hAnsi="Arial" w:cs="Arial"/>
          <w:sz w:val="24"/>
          <w:szCs w:val="24"/>
        </w:rPr>
        <w:t xml:space="preserve">Test work indicated </w:t>
      </w:r>
      <w:r w:rsidRPr="00450AF4">
        <w:rPr>
          <w:rStyle w:val="s2cc9b3cb1"/>
          <w:rFonts w:ascii="Arial" w:hAnsi="Arial" w:cs="Arial"/>
          <w:sz w:val="24"/>
          <w:szCs w:val="24"/>
        </w:rPr>
        <w:t>“as-built documents” and the “operating and maintenance data” for equipment incorporated into the project were received pri</w:t>
      </w:r>
      <w:r>
        <w:rPr>
          <w:rStyle w:val="s2cc9b3cb1"/>
          <w:rFonts w:ascii="Arial" w:hAnsi="Arial" w:cs="Arial"/>
          <w:sz w:val="24"/>
          <w:szCs w:val="24"/>
        </w:rPr>
        <w:t>or to the final payment to the c</w:t>
      </w:r>
      <w:r w:rsidRPr="00450AF4">
        <w:rPr>
          <w:rStyle w:val="s2cc9b3cb1"/>
          <w:rFonts w:ascii="Arial" w:hAnsi="Arial" w:cs="Arial"/>
          <w:sz w:val="24"/>
          <w:szCs w:val="24"/>
        </w:rPr>
        <w:t xml:space="preserve">ontractor and release of retention. </w:t>
      </w:r>
      <w:r>
        <w:rPr>
          <w:rStyle w:val="s2cc9b3cb1"/>
          <w:rFonts w:ascii="Arial" w:hAnsi="Arial" w:cs="Arial"/>
          <w:sz w:val="24"/>
          <w:szCs w:val="24"/>
        </w:rPr>
        <w:t xml:space="preserve"> </w:t>
      </w:r>
      <w:r w:rsidRPr="00450AF4">
        <w:rPr>
          <w:rStyle w:val="s2cc9b3cb1"/>
          <w:rFonts w:ascii="Arial" w:hAnsi="Arial" w:cs="Arial"/>
          <w:sz w:val="24"/>
          <w:szCs w:val="24"/>
        </w:rPr>
        <w:t xml:space="preserve">The final payment and release of retention were paid after the dated certificate of occupancy and dated notice of completion for each project. </w:t>
      </w:r>
      <w:r>
        <w:rPr>
          <w:rStyle w:val="s2cc9b3cb1"/>
          <w:rFonts w:ascii="Arial" w:hAnsi="Arial" w:cs="Arial"/>
          <w:sz w:val="24"/>
          <w:szCs w:val="24"/>
        </w:rPr>
        <w:t xml:space="preserve"> </w:t>
      </w:r>
      <w:r w:rsidRPr="00450AF4">
        <w:rPr>
          <w:rStyle w:val="s2cc9b3cb1"/>
          <w:rFonts w:ascii="Arial" w:hAnsi="Arial" w:cs="Arial"/>
          <w:sz w:val="24"/>
          <w:szCs w:val="24"/>
        </w:rPr>
        <w:t xml:space="preserve">Each project’s submittal log(s) accounted for the timely receipt of the “as-built” drawings and the “operating and maintenance data” for equipment incorporated into the project. </w:t>
      </w:r>
    </w:p>
    <w:p w:rsidR="0079445C" w:rsidRPr="002F2577" w:rsidRDefault="0079445C" w:rsidP="0059258F">
      <w:pPr>
        <w:pStyle w:val="NoSpacing"/>
        <w:spacing w:line="360" w:lineRule="auto"/>
        <w:jc w:val="both"/>
        <w:rPr>
          <w:rStyle w:val="s2cc9b3cb1"/>
          <w:rFonts w:ascii="Arial" w:hAnsi="Arial" w:cs="Arial"/>
          <w:sz w:val="24"/>
          <w:szCs w:val="24"/>
        </w:rPr>
      </w:pPr>
    </w:p>
    <w:p w:rsidR="00B276E0" w:rsidRPr="00450AF4" w:rsidRDefault="006B51F6" w:rsidP="00450AF4">
      <w:pPr>
        <w:pStyle w:val="nospacing0"/>
        <w:spacing w:line="360" w:lineRule="auto"/>
        <w:jc w:val="both"/>
        <w:rPr>
          <w:rStyle w:val="s2cc9b3cb1"/>
          <w:rFonts w:ascii="Arial" w:hAnsi="Arial" w:cs="Arial"/>
          <w:color w:val="auto"/>
          <w:sz w:val="24"/>
          <w:szCs w:val="24"/>
        </w:rPr>
      </w:pPr>
      <w:r>
        <w:t xml:space="preserve">There were no </w:t>
      </w:r>
      <w:r w:rsidRPr="002F2577">
        <w:t xml:space="preserve">significant control </w:t>
      </w:r>
      <w:r>
        <w:t xml:space="preserve">weaknesses noted </w:t>
      </w:r>
      <w:r w:rsidRPr="002F2577">
        <w:t>in this area.</w:t>
      </w:r>
    </w:p>
    <w:p w:rsidR="00450AF4" w:rsidRDefault="00450AF4" w:rsidP="0059258F">
      <w:pPr>
        <w:pStyle w:val="NoSpacing"/>
        <w:spacing w:line="360" w:lineRule="auto"/>
        <w:jc w:val="center"/>
        <w:rPr>
          <w:u w:val="single"/>
        </w:rPr>
      </w:pPr>
    </w:p>
    <w:p w:rsidR="00B276E0" w:rsidRPr="002F2577" w:rsidRDefault="00B276E0" w:rsidP="0059258F">
      <w:pPr>
        <w:pStyle w:val="NoSpacing"/>
        <w:spacing w:line="360" w:lineRule="auto"/>
        <w:jc w:val="center"/>
        <w:rPr>
          <w:u w:val="single"/>
        </w:rPr>
      </w:pPr>
      <w:r w:rsidRPr="002F2577">
        <w:rPr>
          <w:u w:val="single"/>
        </w:rPr>
        <w:t>Close-Out Process – Project Manager Training</w:t>
      </w:r>
    </w:p>
    <w:p w:rsidR="00B276E0" w:rsidRPr="002F2577" w:rsidRDefault="00B276E0" w:rsidP="0059258F">
      <w:pPr>
        <w:pStyle w:val="NoSpacing"/>
        <w:spacing w:line="360" w:lineRule="auto"/>
        <w:jc w:val="both"/>
      </w:pPr>
    </w:p>
    <w:p w:rsidR="00B276E0" w:rsidRPr="002F2577" w:rsidRDefault="00B276E0" w:rsidP="00054298">
      <w:pPr>
        <w:pStyle w:val="NoSpacing"/>
        <w:spacing w:line="360" w:lineRule="auto"/>
        <w:jc w:val="both"/>
      </w:pPr>
      <w:r w:rsidRPr="002F2577">
        <w:t xml:space="preserve">Interviews with CP management </w:t>
      </w:r>
      <w:r w:rsidR="00054298">
        <w:t>were conduc</w:t>
      </w:r>
      <w:r w:rsidR="002A172A">
        <w:t>t</w:t>
      </w:r>
      <w:r w:rsidR="00054298">
        <w:t xml:space="preserve">ed </w:t>
      </w:r>
      <w:r w:rsidRPr="002F2577">
        <w:t xml:space="preserve">to determine if </w:t>
      </w:r>
      <w:r w:rsidRPr="002F2577">
        <w:rPr>
          <w:rStyle w:val="defaultparagraphfont1"/>
          <w:rFonts w:ascii="Arial" w:hAnsi="Arial" w:cs="Arial"/>
          <w:sz w:val="24"/>
          <w:szCs w:val="24"/>
        </w:rPr>
        <w:t>formal</w:t>
      </w:r>
      <w:r w:rsidR="00E11816">
        <w:rPr>
          <w:rStyle w:val="defaultparagraphfont1"/>
          <w:rFonts w:ascii="Arial" w:hAnsi="Arial" w:cs="Arial"/>
          <w:sz w:val="24"/>
          <w:szCs w:val="24"/>
        </w:rPr>
        <w:t>,</w:t>
      </w:r>
      <w:r w:rsidRPr="002F2577">
        <w:rPr>
          <w:rStyle w:val="defaultparagraphfont1"/>
          <w:rFonts w:ascii="Arial" w:hAnsi="Arial" w:cs="Arial"/>
          <w:sz w:val="24"/>
          <w:szCs w:val="24"/>
        </w:rPr>
        <w:t xml:space="preserve"> standardized capital project close-out training has been developed </w:t>
      </w:r>
      <w:r w:rsidR="00F00BFF" w:rsidRPr="002F2577">
        <w:rPr>
          <w:rStyle w:val="defaultparagraphfont1"/>
          <w:rFonts w:ascii="Arial" w:hAnsi="Arial" w:cs="Arial"/>
          <w:sz w:val="24"/>
          <w:szCs w:val="24"/>
        </w:rPr>
        <w:t>by CP</w:t>
      </w:r>
      <w:r w:rsidR="00054298">
        <w:rPr>
          <w:rStyle w:val="defaultparagraphfont1"/>
          <w:rFonts w:ascii="Arial" w:hAnsi="Arial" w:cs="Arial"/>
          <w:sz w:val="24"/>
          <w:szCs w:val="24"/>
        </w:rPr>
        <w:t xml:space="preserve"> </w:t>
      </w:r>
      <w:r w:rsidR="002A172A">
        <w:rPr>
          <w:rStyle w:val="defaultparagraphfont1"/>
          <w:rFonts w:ascii="Arial" w:hAnsi="Arial" w:cs="Arial"/>
          <w:sz w:val="24"/>
          <w:szCs w:val="24"/>
        </w:rPr>
        <w:t xml:space="preserve">personnel </w:t>
      </w:r>
      <w:r w:rsidRPr="002F2577">
        <w:rPr>
          <w:rStyle w:val="defaultparagraphfont1"/>
          <w:rFonts w:ascii="Arial" w:hAnsi="Arial" w:cs="Arial"/>
          <w:sz w:val="24"/>
          <w:szCs w:val="24"/>
        </w:rPr>
        <w:t xml:space="preserve">and provided to project managers, including </w:t>
      </w:r>
      <w:r w:rsidR="002B5CAB">
        <w:rPr>
          <w:rStyle w:val="defaultparagraphfont1"/>
          <w:rFonts w:ascii="Arial" w:hAnsi="Arial" w:cs="Arial"/>
          <w:sz w:val="24"/>
          <w:szCs w:val="24"/>
        </w:rPr>
        <w:t xml:space="preserve">those </w:t>
      </w:r>
      <w:r w:rsidR="002A172A">
        <w:rPr>
          <w:rStyle w:val="defaultparagraphfont1"/>
          <w:rFonts w:ascii="Arial" w:hAnsi="Arial" w:cs="Arial"/>
          <w:sz w:val="24"/>
          <w:szCs w:val="24"/>
        </w:rPr>
        <w:t>working for entities with delegated authority</w:t>
      </w:r>
      <w:r w:rsidR="00DA43CA">
        <w:rPr>
          <w:rStyle w:val="defaultparagraphfont1"/>
          <w:rFonts w:ascii="Arial" w:hAnsi="Arial" w:cs="Arial"/>
          <w:sz w:val="24"/>
          <w:szCs w:val="24"/>
        </w:rPr>
        <w:t xml:space="preserve"> to execute construction contracts</w:t>
      </w:r>
      <w:r w:rsidR="002A172A">
        <w:rPr>
          <w:rStyle w:val="defaultparagraphfont1"/>
          <w:rFonts w:ascii="Arial" w:hAnsi="Arial" w:cs="Arial"/>
          <w:sz w:val="24"/>
          <w:szCs w:val="24"/>
        </w:rPr>
        <w:t xml:space="preserve">, such as </w:t>
      </w:r>
      <w:r w:rsidR="002B5CAB">
        <w:rPr>
          <w:rStyle w:val="defaultparagraphfont1"/>
          <w:rFonts w:ascii="Arial" w:hAnsi="Arial" w:cs="Arial"/>
          <w:sz w:val="24"/>
          <w:szCs w:val="24"/>
        </w:rPr>
        <w:t xml:space="preserve">UCLA Health, </w:t>
      </w:r>
      <w:r w:rsidRPr="002F2577">
        <w:rPr>
          <w:rStyle w:val="defaultparagraphfont1"/>
          <w:rFonts w:ascii="Arial" w:hAnsi="Arial" w:cs="Arial"/>
          <w:sz w:val="24"/>
          <w:szCs w:val="24"/>
        </w:rPr>
        <w:t>Facilities Management, and</w:t>
      </w:r>
      <w:r w:rsidR="00D36F66">
        <w:rPr>
          <w:rStyle w:val="defaultparagraphfont1"/>
          <w:rFonts w:ascii="Arial" w:hAnsi="Arial" w:cs="Arial"/>
          <w:sz w:val="24"/>
          <w:szCs w:val="24"/>
        </w:rPr>
        <w:t xml:space="preserve"> Housing &amp; Hospitality Services</w:t>
      </w:r>
      <w:r w:rsidRPr="002F2577">
        <w:rPr>
          <w:rStyle w:val="defaultparagraphfont1"/>
          <w:rFonts w:ascii="Arial" w:hAnsi="Arial" w:cs="Arial"/>
          <w:sz w:val="24"/>
          <w:szCs w:val="24"/>
        </w:rPr>
        <w:t xml:space="preserve">. </w:t>
      </w:r>
      <w:r w:rsidR="006B51F6">
        <w:rPr>
          <w:rStyle w:val="defaultparagraphfont1"/>
          <w:rFonts w:ascii="Arial" w:hAnsi="Arial" w:cs="Arial"/>
          <w:sz w:val="24"/>
          <w:szCs w:val="24"/>
        </w:rPr>
        <w:t xml:space="preserve"> </w:t>
      </w:r>
      <w:r w:rsidR="00742738">
        <w:rPr>
          <w:rStyle w:val="defaultparagraphfont1"/>
          <w:rFonts w:ascii="Arial" w:hAnsi="Arial" w:cs="Arial"/>
          <w:sz w:val="24"/>
          <w:szCs w:val="24"/>
        </w:rPr>
        <w:t xml:space="preserve">CP management indicated during audit interviews that </w:t>
      </w:r>
      <w:r w:rsidRPr="002F2577">
        <w:rPr>
          <w:rStyle w:val="defaultparagraphfont1"/>
          <w:rFonts w:ascii="Arial" w:hAnsi="Arial" w:cs="Arial"/>
          <w:sz w:val="24"/>
          <w:szCs w:val="24"/>
        </w:rPr>
        <w:t xml:space="preserve">each project manager </w:t>
      </w:r>
      <w:r w:rsidR="00742738">
        <w:rPr>
          <w:rStyle w:val="defaultparagraphfont1"/>
          <w:rFonts w:ascii="Arial" w:hAnsi="Arial" w:cs="Arial"/>
          <w:sz w:val="24"/>
          <w:szCs w:val="24"/>
        </w:rPr>
        <w:t xml:space="preserve">serves as the key </w:t>
      </w:r>
      <w:r w:rsidRPr="002F2577">
        <w:rPr>
          <w:rStyle w:val="defaultparagraphfont1"/>
          <w:rFonts w:ascii="Arial" w:hAnsi="Arial" w:cs="Arial"/>
          <w:sz w:val="24"/>
          <w:szCs w:val="24"/>
        </w:rPr>
        <w:t>control to ensure all financial and administrative aspects of the</w:t>
      </w:r>
      <w:r w:rsidR="008151FE">
        <w:rPr>
          <w:rStyle w:val="defaultparagraphfont1"/>
          <w:rFonts w:ascii="Arial" w:hAnsi="Arial" w:cs="Arial"/>
          <w:sz w:val="24"/>
          <w:szCs w:val="24"/>
        </w:rPr>
        <w:t>ir respective</w:t>
      </w:r>
      <w:r w:rsidRPr="002F2577">
        <w:rPr>
          <w:rStyle w:val="defaultparagraphfont1"/>
          <w:rFonts w:ascii="Arial" w:hAnsi="Arial" w:cs="Arial"/>
          <w:sz w:val="24"/>
          <w:szCs w:val="24"/>
        </w:rPr>
        <w:t xml:space="preserve"> capital projects are properly managed on a timely basis.  </w:t>
      </w:r>
    </w:p>
    <w:p w:rsidR="00B276E0" w:rsidRPr="002F2577" w:rsidRDefault="00B276E0" w:rsidP="00B276E0">
      <w:pPr>
        <w:pStyle w:val="Normal1"/>
        <w:rPr>
          <w:rStyle w:val="sb9221cd11"/>
        </w:rPr>
      </w:pPr>
      <w:r w:rsidRPr="002F2577">
        <w:rPr>
          <w:rStyle w:val="sb9221cd11"/>
        </w:rPr>
        <w:t> </w:t>
      </w:r>
    </w:p>
    <w:p w:rsidR="00B276E0" w:rsidRDefault="00967877" w:rsidP="003F4F7A">
      <w:pPr>
        <w:pStyle w:val="Normal1"/>
        <w:spacing w:line="360" w:lineRule="auto"/>
        <w:rPr>
          <w:rStyle w:val="sb9221cd11"/>
          <w:u w:val="single"/>
        </w:rPr>
      </w:pPr>
      <w:r>
        <w:rPr>
          <w:rStyle w:val="sb9221cd11"/>
        </w:rPr>
        <w:t xml:space="preserve">A.   </w:t>
      </w:r>
      <w:r w:rsidR="004E6572">
        <w:rPr>
          <w:rStyle w:val="sb9221cd11"/>
        </w:rPr>
        <w:t xml:space="preserve">  </w:t>
      </w:r>
      <w:r w:rsidR="00902AB2" w:rsidRPr="00902AB2">
        <w:rPr>
          <w:rStyle w:val="sb9221cd11"/>
          <w:u w:val="single"/>
        </w:rPr>
        <w:t>Close-Out Training – Project Managers</w:t>
      </w:r>
    </w:p>
    <w:p w:rsidR="00902AB2" w:rsidRDefault="00902AB2" w:rsidP="003F4F7A">
      <w:pPr>
        <w:pStyle w:val="Normal1"/>
        <w:spacing w:line="360" w:lineRule="auto"/>
        <w:rPr>
          <w:rStyle w:val="sb9221cd11"/>
        </w:rPr>
      </w:pPr>
    </w:p>
    <w:p w:rsidR="00F25314" w:rsidRDefault="004E6572" w:rsidP="00450AF4">
      <w:pPr>
        <w:suppressAutoHyphens w:val="0"/>
        <w:autoSpaceDE w:val="0"/>
        <w:autoSpaceDN w:val="0"/>
        <w:adjustRightInd w:val="0"/>
        <w:spacing w:line="360" w:lineRule="auto"/>
        <w:ind w:left="540"/>
        <w:jc w:val="both"/>
        <w:rPr>
          <w:rFonts w:ascii="Arial" w:hAnsi="Arial"/>
          <w:lang w:eastAsia="en-US"/>
        </w:rPr>
      </w:pPr>
      <w:r w:rsidRPr="004E6572">
        <w:rPr>
          <w:rFonts w:ascii="Arial" w:hAnsi="Arial"/>
          <w:lang w:eastAsia="en-US"/>
        </w:rPr>
        <w:t xml:space="preserve">Management has not developed and implemented a standardized capital project close-out training program for project managers. </w:t>
      </w:r>
      <w:r w:rsidR="006B51F6">
        <w:rPr>
          <w:rFonts w:ascii="Arial" w:hAnsi="Arial"/>
          <w:lang w:eastAsia="en-US"/>
        </w:rPr>
        <w:t xml:space="preserve"> </w:t>
      </w:r>
      <w:r w:rsidR="00DA0069">
        <w:rPr>
          <w:rFonts w:ascii="Arial" w:hAnsi="Arial"/>
          <w:lang w:eastAsia="en-US"/>
        </w:rPr>
        <w:t xml:space="preserve">Generally, project managers have </w:t>
      </w:r>
      <w:r w:rsidR="00C42560">
        <w:rPr>
          <w:rFonts w:ascii="Arial" w:hAnsi="Arial"/>
          <w:lang w:eastAsia="en-US"/>
        </w:rPr>
        <w:t>existing</w:t>
      </w:r>
      <w:r w:rsidR="00DA0069">
        <w:rPr>
          <w:rFonts w:ascii="Arial" w:hAnsi="Arial"/>
          <w:lang w:eastAsia="en-US"/>
        </w:rPr>
        <w:t xml:space="preserve"> project management experience and are </w:t>
      </w:r>
      <w:r w:rsidR="00E85940">
        <w:rPr>
          <w:rFonts w:ascii="Arial" w:hAnsi="Arial"/>
          <w:lang w:eastAsia="en-US"/>
        </w:rPr>
        <w:t>provided additional UCLA Capital Programs project clos</w:t>
      </w:r>
      <w:r w:rsidR="00450AF4">
        <w:rPr>
          <w:rFonts w:ascii="Arial" w:hAnsi="Arial"/>
          <w:lang w:eastAsia="en-US"/>
        </w:rPr>
        <w:t>e-out information as part of their on the job training</w:t>
      </w:r>
      <w:r w:rsidR="00A6299F">
        <w:rPr>
          <w:rFonts w:ascii="Arial" w:hAnsi="Arial"/>
          <w:lang w:eastAsia="en-US"/>
        </w:rPr>
        <w:t>.</w:t>
      </w:r>
      <w:r w:rsidR="00E85940">
        <w:rPr>
          <w:rFonts w:ascii="Arial" w:hAnsi="Arial"/>
          <w:lang w:eastAsia="en-US"/>
        </w:rPr>
        <w:t xml:space="preserve"> </w:t>
      </w:r>
      <w:r w:rsidR="0050044D">
        <w:rPr>
          <w:rFonts w:ascii="Arial" w:hAnsi="Arial"/>
          <w:lang w:eastAsia="en-US"/>
        </w:rPr>
        <w:t xml:space="preserve"> </w:t>
      </w:r>
      <w:r w:rsidRPr="004E6572">
        <w:rPr>
          <w:rFonts w:ascii="Arial" w:hAnsi="Arial"/>
          <w:lang w:eastAsia="en-US"/>
        </w:rPr>
        <w:t>The project close-out phase is an important, distinct and challenging phase of a capital construction project.</w:t>
      </w:r>
      <w:r w:rsidR="006B51F6">
        <w:rPr>
          <w:rFonts w:ascii="Arial" w:hAnsi="Arial"/>
          <w:lang w:eastAsia="en-US"/>
        </w:rPr>
        <w:t xml:space="preserve"> </w:t>
      </w:r>
      <w:r w:rsidRPr="004E6572">
        <w:rPr>
          <w:rFonts w:ascii="Arial" w:hAnsi="Arial"/>
          <w:lang w:eastAsia="en-US"/>
        </w:rPr>
        <w:t xml:space="preserve"> Operationally, consistency in the application of project close-out processes and procedures, and use of related systems is necessary to properly control the capital program. </w:t>
      </w:r>
      <w:r w:rsidR="006B51F6">
        <w:rPr>
          <w:rFonts w:ascii="Arial" w:hAnsi="Arial"/>
          <w:lang w:eastAsia="en-US"/>
        </w:rPr>
        <w:t xml:space="preserve"> </w:t>
      </w:r>
      <w:r w:rsidR="00976569">
        <w:rPr>
          <w:rFonts w:ascii="Arial" w:hAnsi="Arial"/>
          <w:lang w:eastAsia="en-US"/>
        </w:rPr>
        <w:t xml:space="preserve">Without </w:t>
      </w:r>
      <w:r w:rsidRPr="004E6572">
        <w:rPr>
          <w:rFonts w:ascii="Arial" w:hAnsi="Arial"/>
          <w:lang w:eastAsia="en-US"/>
        </w:rPr>
        <w:t xml:space="preserve">a formal, standardized project close-out training program, project managers might not </w:t>
      </w:r>
      <w:r w:rsidR="000F56D9">
        <w:rPr>
          <w:rFonts w:ascii="Arial" w:hAnsi="Arial"/>
          <w:lang w:eastAsia="en-US"/>
        </w:rPr>
        <w:t xml:space="preserve">obtain </w:t>
      </w:r>
      <w:r w:rsidRPr="004E6572">
        <w:rPr>
          <w:rFonts w:ascii="Arial" w:hAnsi="Arial"/>
          <w:lang w:eastAsia="en-US"/>
        </w:rPr>
        <w:t xml:space="preserve">essential knowledge necessary to effectively and efficiently administer close-out </w:t>
      </w:r>
      <w:r w:rsidR="00E4700E">
        <w:rPr>
          <w:rFonts w:ascii="Arial" w:hAnsi="Arial"/>
          <w:lang w:eastAsia="en-US"/>
        </w:rPr>
        <w:t xml:space="preserve">procedures of </w:t>
      </w:r>
      <w:r w:rsidRPr="004E6572">
        <w:rPr>
          <w:rFonts w:ascii="Arial" w:hAnsi="Arial"/>
          <w:lang w:eastAsia="en-US"/>
        </w:rPr>
        <w:t>capital construction project</w:t>
      </w:r>
      <w:r w:rsidR="00E4700E">
        <w:rPr>
          <w:rFonts w:ascii="Arial" w:hAnsi="Arial"/>
          <w:lang w:eastAsia="en-US"/>
        </w:rPr>
        <w:t>s</w:t>
      </w:r>
      <w:r w:rsidRPr="004E6572">
        <w:rPr>
          <w:rFonts w:ascii="Arial" w:hAnsi="Arial"/>
          <w:lang w:eastAsia="en-US"/>
        </w:rPr>
        <w:t>.</w:t>
      </w:r>
    </w:p>
    <w:p w:rsidR="003521F4" w:rsidRDefault="003521F4" w:rsidP="00450AF4">
      <w:pPr>
        <w:suppressAutoHyphens w:val="0"/>
        <w:autoSpaceDE w:val="0"/>
        <w:autoSpaceDN w:val="0"/>
        <w:adjustRightInd w:val="0"/>
        <w:spacing w:line="360" w:lineRule="auto"/>
        <w:ind w:left="540"/>
        <w:jc w:val="both"/>
        <w:rPr>
          <w:rFonts w:ascii="Arial" w:hAnsi="Arial"/>
          <w:lang w:eastAsia="en-US"/>
        </w:rPr>
      </w:pPr>
    </w:p>
    <w:p w:rsidR="005C5A15" w:rsidRDefault="00F25314" w:rsidP="005C5A15">
      <w:pPr>
        <w:pStyle w:val="NoSpacing1"/>
        <w:spacing w:line="360" w:lineRule="auto"/>
        <w:ind w:left="540"/>
        <w:jc w:val="both"/>
      </w:pPr>
      <w:r w:rsidRPr="00F25314">
        <w:rPr>
          <w:u w:val="single"/>
        </w:rPr>
        <w:t>Recommendation</w:t>
      </w:r>
      <w:r>
        <w:t xml:space="preserve">: </w:t>
      </w:r>
      <w:r w:rsidR="006B51F6">
        <w:t xml:space="preserve"> </w:t>
      </w:r>
      <w:r w:rsidR="005C5A15" w:rsidRPr="005C5A15">
        <w:t>Management should consider developing and implementing a formal, standardized project close-out training program for project managers.</w:t>
      </w:r>
      <w:r w:rsidR="006B51F6">
        <w:t xml:space="preserve"> </w:t>
      </w:r>
      <w:r w:rsidR="005C5A15" w:rsidRPr="005C5A15">
        <w:t xml:space="preserve"> The investment in </w:t>
      </w:r>
      <w:r w:rsidR="00B17D53">
        <w:t xml:space="preserve">a </w:t>
      </w:r>
      <w:r w:rsidR="005C5A15" w:rsidRPr="005C5A15">
        <w:t xml:space="preserve">training program </w:t>
      </w:r>
      <w:r w:rsidR="008F339E">
        <w:t xml:space="preserve">could </w:t>
      </w:r>
      <w:r w:rsidR="0035061F">
        <w:t xml:space="preserve">help </w:t>
      </w:r>
      <w:r w:rsidR="005C5A15" w:rsidRPr="005C5A15">
        <w:t xml:space="preserve">strengthen project management </w:t>
      </w:r>
      <w:r w:rsidR="00625D94">
        <w:t xml:space="preserve">and other key </w:t>
      </w:r>
      <w:r w:rsidR="005C5A15" w:rsidRPr="005C5A15">
        <w:t>skill</w:t>
      </w:r>
      <w:r w:rsidR="00625D94">
        <w:t>s</w:t>
      </w:r>
      <w:r w:rsidR="005C5A15" w:rsidRPr="005C5A15">
        <w:t xml:space="preserve"> </w:t>
      </w:r>
      <w:r w:rsidR="00625D94">
        <w:t>for applicable personnel</w:t>
      </w:r>
      <w:r w:rsidR="00450AF4">
        <w:t>, promote increased productivity, and decrease</w:t>
      </w:r>
      <w:r w:rsidR="005C5A15" w:rsidRPr="005C5A15">
        <w:t xml:space="preserve"> the amount of supervision</w:t>
      </w:r>
      <w:r w:rsidR="0003393F">
        <w:t xml:space="preserve"> required</w:t>
      </w:r>
      <w:r w:rsidR="007D5F87">
        <w:t xml:space="preserve"> because </w:t>
      </w:r>
      <w:r w:rsidR="00E4742C">
        <w:t xml:space="preserve">staff are </w:t>
      </w:r>
      <w:r w:rsidR="007D5F87">
        <w:t>e</w:t>
      </w:r>
      <w:r w:rsidR="00E4742C">
        <w:t>nhancing their skill set.</w:t>
      </w:r>
    </w:p>
    <w:p w:rsidR="00EB28FE" w:rsidRDefault="00EB28FE" w:rsidP="005C5A15">
      <w:pPr>
        <w:pStyle w:val="NoSpacing1"/>
        <w:spacing w:line="360" w:lineRule="auto"/>
        <w:ind w:left="540"/>
        <w:jc w:val="both"/>
      </w:pPr>
    </w:p>
    <w:p w:rsidR="00241D66" w:rsidRPr="00241D66" w:rsidRDefault="00EB28FE" w:rsidP="00241D66">
      <w:pPr>
        <w:pStyle w:val="NoSpacing1"/>
        <w:spacing w:line="360" w:lineRule="auto"/>
        <w:ind w:left="540"/>
        <w:jc w:val="both"/>
        <w:rPr>
          <w:rFonts w:ascii="Segoe UI" w:hAnsi="Segoe UI"/>
          <w:color w:val="000000" w:themeColor="text1"/>
          <w:sz w:val="22"/>
        </w:rPr>
      </w:pPr>
      <w:r w:rsidRPr="00EB28FE">
        <w:rPr>
          <w:u w:val="single"/>
        </w:rPr>
        <w:t>Response</w:t>
      </w:r>
      <w:r>
        <w:t xml:space="preserve">:  </w:t>
      </w:r>
      <w:r w:rsidR="00241D66" w:rsidRPr="00241D66">
        <w:rPr>
          <w:color w:val="000000" w:themeColor="text1"/>
        </w:rPr>
        <w:t xml:space="preserve">Management agrees that developing and implementing a formal, standardized project close-out training program for project managers would be beneficial to the Capital Program. </w:t>
      </w:r>
      <w:r w:rsidR="005F1420">
        <w:rPr>
          <w:color w:val="000000" w:themeColor="text1"/>
        </w:rPr>
        <w:t xml:space="preserve"> </w:t>
      </w:r>
      <w:r w:rsidR="00241D66" w:rsidRPr="00241D66">
        <w:rPr>
          <w:color w:val="000000" w:themeColor="text1"/>
        </w:rPr>
        <w:t xml:space="preserve">Capital Programs will outline and implement a training </w:t>
      </w:r>
      <w:r w:rsidR="00327D1B">
        <w:rPr>
          <w:color w:val="000000" w:themeColor="text1"/>
        </w:rPr>
        <w:t>program within fiscal year 2016-17</w:t>
      </w:r>
      <w:r w:rsidR="00241D66" w:rsidRPr="00241D66">
        <w:rPr>
          <w:color w:val="000000" w:themeColor="text1"/>
        </w:rPr>
        <w:t>.</w:t>
      </w:r>
    </w:p>
    <w:p w:rsidR="00EB28FE" w:rsidRPr="00241D66" w:rsidRDefault="00EB28FE" w:rsidP="005C5A15">
      <w:pPr>
        <w:pStyle w:val="NoSpacing1"/>
        <w:spacing w:line="360" w:lineRule="auto"/>
        <w:ind w:left="540"/>
        <w:jc w:val="both"/>
        <w:rPr>
          <w:color w:val="000000" w:themeColor="text1"/>
        </w:rPr>
      </w:pPr>
    </w:p>
    <w:p w:rsidR="00AE37AC" w:rsidRDefault="00AE37AC" w:rsidP="00BB455C">
      <w:pPr>
        <w:suppressAutoHyphens w:val="0"/>
        <w:autoSpaceDE w:val="0"/>
        <w:autoSpaceDN w:val="0"/>
        <w:adjustRightInd w:val="0"/>
        <w:spacing w:after="180" w:line="276" w:lineRule="auto"/>
        <w:rPr>
          <w:rFonts w:ascii="Segoe UI" w:hAnsi="Segoe UI"/>
          <w:sz w:val="22"/>
          <w:lang w:eastAsia="en-US"/>
        </w:rPr>
      </w:pPr>
    </w:p>
    <w:p w:rsidR="00AE37AC" w:rsidRDefault="00AE37AC" w:rsidP="00BB455C">
      <w:pPr>
        <w:suppressAutoHyphens w:val="0"/>
        <w:autoSpaceDE w:val="0"/>
        <w:autoSpaceDN w:val="0"/>
        <w:adjustRightInd w:val="0"/>
        <w:spacing w:after="180" w:line="276" w:lineRule="auto"/>
        <w:rPr>
          <w:rFonts w:ascii="Segoe UI" w:hAnsi="Segoe UI"/>
          <w:sz w:val="22"/>
          <w:lang w:eastAsia="en-US"/>
        </w:rPr>
      </w:pPr>
    </w:p>
    <w:p w:rsidR="00AE37AC" w:rsidRPr="0059258F" w:rsidRDefault="00AE37AC" w:rsidP="003F4F7A">
      <w:pPr>
        <w:spacing w:line="360" w:lineRule="auto"/>
        <w:jc w:val="both"/>
        <w:rPr>
          <w:rFonts w:ascii="Arial" w:hAnsi="Arial" w:cs="Arial"/>
        </w:rPr>
      </w:pPr>
      <w:r w:rsidRPr="00620AE3">
        <w:rPr>
          <w:rFonts w:ascii="Arial" w:hAnsi="Arial" w:cs="Arial"/>
          <w:sz w:val="16"/>
          <w:szCs w:val="16"/>
        </w:rPr>
        <w:t>16</w:t>
      </w:r>
      <w:r w:rsidR="003521F4">
        <w:rPr>
          <w:rFonts w:ascii="Arial" w:hAnsi="Arial" w:cs="Arial"/>
          <w:sz w:val="16"/>
          <w:szCs w:val="16"/>
        </w:rPr>
        <w:t>0615-2</w:t>
      </w:r>
    </w:p>
    <w:sectPr w:rsidR="00AE37AC" w:rsidRPr="0059258F" w:rsidSect="00A81C20">
      <w:footerReference w:type="default" r:id="rId10"/>
      <w:pgSz w:w="12240" w:h="15840"/>
      <w:pgMar w:top="1296"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FEB" w:rsidRDefault="006F5FEB" w:rsidP="008B0A37">
      <w:r>
        <w:separator/>
      </w:r>
    </w:p>
  </w:endnote>
  <w:endnote w:type="continuationSeparator" w:id="0">
    <w:p w:rsidR="006F5FEB" w:rsidRDefault="006F5FEB" w:rsidP="008B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EB" w:rsidRDefault="006F5FEB">
    <w:pPr>
      <w:pStyle w:val="Footer"/>
      <w:jc w:val="center"/>
    </w:pPr>
  </w:p>
  <w:p w:rsidR="006F5FEB" w:rsidRDefault="006F5F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673088"/>
      <w:docPartObj>
        <w:docPartGallery w:val="Page Numbers (Bottom of Page)"/>
        <w:docPartUnique/>
      </w:docPartObj>
    </w:sdtPr>
    <w:sdtEndPr>
      <w:rPr>
        <w:rFonts w:ascii="Arial" w:hAnsi="Arial" w:cs="Arial"/>
        <w:noProof/>
      </w:rPr>
    </w:sdtEndPr>
    <w:sdtContent>
      <w:p w:rsidR="006F5FEB" w:rsidRPr="008B0A37" w:rsidRDefault="006F5FEB">
        <w:pPr>
          <w:pStyle w:val="Footer"/>
          <w:jc w:val="center"/>
          <w:rPr>
            <w:rFonts w:ascii="Arial" w:hAnsi="Arial" w:cs="Arial"/>
          </w:rPr>
        </w:pPr>
        <w:r w:rsidRPr="008B0A37">
          <w:rPr>
            <w:rFonts w:ascii="Arial" w:hAnsi="Arial" w:cs="Arial"/>
          </w:rPr>
          <w:fldChar w:fldCharType="begin"/>
        </w:r>
        <w:r w:rsidRPr="008B0A37">
          <w:rPr>
            <w:rFonts w:ascii="Arial" w:hAnsi="Arial" w:cs="Arial"/>
          </w:rPr>
          <w:instrText xml:space="preserve"> PAGE   \* MERGEFORMAT </w:instrText>
        </w:r>
        <w:r w:rsidRPr="008B0A37">
          <w:rPr>
            <w:rFonts w:ascii="Arial" w:hAnsi="Arial" w:cs="Arial"/>
          </w:rPr>
          <w:fldChar w:fldCharType="separate"/>
        </w:r>
        <w:r w:rsidR="003D7A08">
          <w:rPr>
            <w:rFonts w:ascii="Arial" w:hAnsi="Arial" w:cs="Arial"/>
            <w:noProof/>
          </w:rPr>
          <w:t>2</w:t>
        </w:r>
        <w:r w:rsidRPr="008B0A37">
          <w:rPr>
            <w:rFonts w:ascii="Arial" w:hAnsi="Arial" w:cs="Arial"/>
            <w:noProof/>
          </w:rPr>
          <w:fldChar w:fldCharType="end"/>
        </w:r>
      </w:p>
    </w:sdtContent>
  </w:sdt>
  <w:p w:rsidR="006F5FEB" w:rsidRDefault="006F5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FEB" w:rsidRDefault="006F5FEB" w:rsidP="008B0A37">
      <w:r>
        <w:separator/>
      </w:r>
    </w:p>
  </w:footnote>
  <w:footnote w:type="continuationSeparator" w:id="0">
    <w:p w:rsidR="006F5FEB" w:rsidRDefault="006F5FEB" w:rsidP="008B0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singleLevel"/>
    <w:tmpl w:val="04090005"/>
    <w:lvl w:ilvl="0">
      <w:start w:val="1"/>
      <w:numFmt w:val="bullet"/>
      <w:lvlText w:val=""/>
      <w:lvlJc w:val="left"/>
      <w:pPr>
        <w:ind w:left="720" w:hanging="360"/>
      </w:pPr>
      <w:rPr>
        <w:rFonts w:ascii="Wingdings" w:hAnsi="Wingdings" w:hint="default"/>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BF61B4"/>
    <w:multiLevelType w:val="hybridMultilevel"/>
    <w:tmpl w:val="30AA7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64A89"/>
    <w:multiLevelType w:val="hybridMultilevel"/>
    <w:tmpl w:val="5D10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152B5"/>
    <w:multiLevelType w:val="hybridMultilevel"/>
    <w:tmpl w:val="3CCE147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D3267F"/>
    <w:multiLevelType w:val="hybridMultilevel"/>
    <w:tmpl w:val="179E6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280C47"/>
    <w:multiLevelType w:val="hybridMultilevel"/>
    <w:tmpl w:val="7436A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B8750B"/>
    <w:multiLevelType w:val="hybridMultilevel"/>
    <w:tmpl w:val="E7C88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497CE4"/>
    <w:multiLevelType w:val="hybridMultilevel"/>
    <w:tmpl w:val="F60827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C9F"/>
    <w:rsid w:val="00003EC6"/>
    <w:rsid w:val="00007F68"/>
    <w:rsid w:val="00011204"/>
    <w:rsid w:val="00020998"/>
    <w:rsid w:val="000239E8"/>
    <w:rsid w:val="00031D84"/>
    <w:rsid w:val="0003393F"/>
    <w:rsid w:val="00034404"/>
    <w:rsid w:val="00035AAE"/>
    <w:rsid w:val="00045333"/>
    <w:rsid w:val="000467C0"/>
    <w:rsid w:val="000511DC"/>
    <w:rsid w:val="00054298"/>
    <w:rsid w:val="000565DB"/>
    <w:rsid w:val="00065532"/>
    <w:rsid w:val="00070825"/>
    <w:rsid w:val="0008442C"/>
    <w:rsid w:val="00086753"/>
    <w:rsid w:val="000936CA"/>
    <w:rsid w:val="00095713"/>
    <w:rsid w:val="000A10BA"/>
    <w:rsid w:val="000A5EF3"/>
    <w:rsid w:val="000B3E9E"/>
    <w:rsid w:val="000C0369"/>
    <w:rsid w:val="000C05CB"/>
    <w:rsid w:val="000C1831"/>
    <w:rsid w:val="000C3129"/>
    <w:rsid w:val="000C38E0"/>
    <w:rsid w:val="000C764C"/>
    <w:rsid w:val="000D6F4F"/>
    <w:rsid w:val="000F56D9"/>
    <w:rsid w:val="000F5961"/>
    <w:rsid w:val="000F7803"/>
    <w:rsid w:val="00100164"/>
    <w:rsid w:val="0010347D"/>
    <w:rsid w:val="00105B20"/>
    <w:rsid w:val="00111F17"/>
    <w:rsid w:val="00112298"/>
    <w:rsid w:val="001139C6"/>
    <w:rsid w:val="00116B57"/>
    <w:rsid w:val="001214F6"/>
    <w:rsid w:val="00131B7F"/>
    <w:rsid w:val="0013310C"/>
    <w:rsid w:val="00134021"/>
    <w:rsid w:val="00134E8F"/>
    <w:rsid w:val="001363B4"/>
    <w:rsid w:val="0013711B"/>
    <w:rsid w:val="00153864"/>
    <w:rsid w:val="00163CB2"/>
    <w:rsid w:val="00182D28"/>
    <w:rsid w:val="00184256"/>
    <w:rsid w:val="00184396"/>
    <w:rsid w:val="00190442"/>
    <w:rsid w:val="001A0061"/>
    <w:rsid w:val="001A6BB6"/>
    <w:rsid w:val="001B3919"/>
    <w:rsid w:val="001B757E"/>
    <w:rsid w:val="001C34AC"/>
    <w:rsid w:val="001C52EC"/>
    <w:rsid w:val="001D113D"/>
    <w:rsid w:val="001D3B16"/>
    <w:rsid w:val="001D5781"/>
    <w:rsid w:val="001E7DEF"/>
    <w:rsid w:val="001F04DD"/>
    <w:rsid w:val="001F2155"/>
    <w:rsid w:val="001F2F0F"/>
    <w:rsid w:val="001F41E2"/>
    <w:rsid w:val="001F4D35"/>
    <w:rsid w:val="00204DFE"/>
    <w:rsid w:val="00206382"/>
    <w:rsid w:val="00206D78"/>
    <w:rsid w:val="00212761"/>
    <w:rsid w:val="00213ABA"/>
    <w:rsid w:val="002222E8"/>
    <w:rsid w:val="00234AF0"/>
    <w:rsid w:val="00235330"/>
    <w:rsid w:val="00241D66"/>
    <w:rsid w:val="00250CE4"/>
    <w:rsid w:val="00250DC0"/>
    <w:rsid w:val="00257AA5"/>
    <w:rsid w:val="00273D06"/>
    <w:rsid w:val="0027640B"/>
    <w:rsid w:val="002808AF"/>
    <w:rsid w:val="00281B6E"/>
    <w:rsid w:val="00285C5A"/>
    <w:rsid w:val="00296831"/>
    <w:rsid w:val="002A172A"/>
    <w:rsid w:val="002A317D"/>
    <w:rsid w:val="002A7085"/>
    <w:rsid w:val="002B1E97"/>
    <w:rsid w:val="002B5CAB"/>
    <w:rsid w:val="002B73DD"/>
    <w:rsid w:val="002C5CC3"/>
    <w:rsid w:val="002F1A6F"/>
    <w:rsid w:val="002F2577"/>
    <w:rsid w:val="002F7792"/>
    <w:rsid w:val="00301FBC"/>
    <w:rsid w:val="00302239"/>
    <w:rsid w:val="00304F5D"/>
    <w:rsid w:val="00305793"/>
    <w:rsid w:val="00311A7A"/>
    <w:rsid w:val="003158B1"/>
    <w:rsid w:val="00321281"/>
    <w:rsid w:val="00322FC0"/>
    <w:rsid w:val="00327D1B"/>
    <w:rsid w:val="00331139"/>
    <w:rsid w:val="003426B3"/>
    <w:rsid w:val="00343D8A"/>
    <w:rsid w:val="0034706D"/>
    <w:rsid w:val="0035061F"/>
    <w:rsid w:val="003521F4"/>
    <w:rsid w:val="0036050F"/>
    <w:rsid w:val="0036067F"/>
    <w:rsid w:val="00366265"/>
    <w:rsid w:val="00366E04"/>
    <w:rsid w:val="00383DC7"/>
    <w:rsid w:val="00387064"/>
    <w:rsid w:val="0039115A"/>
    <w:rsid w:val="003913D4"/>
    <w:rsid w:val="003A0D2B"/>
    <w:rsid w:val="003A2544"/>
    <w:rsid w:val="003A2C76"/>
    <w:rsid w:val="003C7920"/>
    <w:rsid w:val="003D0AC0"/>
    <w:rsid w:val="003D3E85"/>
    <w:rsid w:val="003D61C7"/>
    <w:rsid w:val="003D7A08"/>
    <w:rsid w:val="003E1B26"/>
    <w:rsid w:val="003F20CC"/>
    <w:rsid w:val="003F4F7A"/>
    <w:rsid w:val="003F7DB5"/>
    <w:rsid w:val="00415A41"/>
    <w:rsid w:val="00423948"/>
    <w:rsid w:val="00424BCA"/>
    <w:rsid w:val="00426C9F"/>
    <w:rsid w:val="00434BCC"/>
    <w:rsid w:val="00434CD4"/>
    <w:rsid w:val="00436821"/>
    <w:rsid w:val="004460EA"/>
    <w:rsid w:val="00450AF4"/>
    <w:rsid w:val="00456BBD"/>
    <w:rsid w:val="00456EAD"/>
    <w:rsid w:val="004642F1"/>
    <w:rsid w:val="00466FD2"/>
    <w:rsid w:val="00485FC1"/>
    <w:rsid w:val="004A6707"/>
    <w:rsid w:val="004B3AE8"/>
    <w:rsid w:val="004C19C9"/>
    <w:rsid w:val="004C5B74"/>
    <w:rsid w:val="004C6219"/>
    <w:rsid w:val="004D3D4D"/>
    <w:rsid w:val="004D4DDC"/>
    <w:rsid w:val="004E0D25"/>
    <w:rsid w:val="004E6572"/>
    <w:rsid w:val="004F0272"/>
    <w:rsid w:val="004F56AF"/>
    <w:rsid w:val="0050044D"/>
    <w:rsid w:val="00504575"/>
    <w:rsid w:val="005074B1"/>
    <w:rsid w:val="00510276"/>
    <w:rsid w:val="00514608"/>
    <w:rsid w:val="005402E4"/>
    <w:rsid w:val="00541715"/>
    <w:rsid w:val="005602DA"/>
    <w:rsid w:val="00573866"/>
    <w:rsid w:val="00580194"/>
    <w:rsid w:val="0059258F"/>
    <w:rsid w:val="00594562"/>
    <w:rsid w:val="00595264"/>
    <w:rsid w:val="0059590E"/>
    <w:rsid w:val="005A2D8C"/>
    <w:rsid w:val="005B0F7E"/>
    <w:rsid w:val="005B2DC7"/>
    <w:rsid w:val="005C47C9"/>
    <w:rsid w:val="005C5A15"/>
    <w:rsid w:val="005D227D"/>
    <w:rsid w:val="005D3053"/>
    <w:rsid w:val="005E2074"/>
    <w:rsid w:val="005F1420"/>
    <w:rsid w:val="0060510B"/>
    <w:rsid w:val="00605FBA"/>
    <w:rsid w:val="00606B28"/>
    <w:rsid w:val="00611208"/>
    <w:rsid w:val="00612012"/>
    <w:rsid w:val="006129E2"/>
    <w:rsid w:val="00616BFB"/>
    <w:rsid w:val="0062272D"/>
    <w:rsid w:val="00625D94"/>
    <w:rsid w:val="0062756F"/>
    <w:rsid w:val="00632289"/>
    <w:rsid w:val="006358C2"/>
    <w:rsid w:val="006428DE"/>
    <w:rsid w:val="00643D32"/>
    <w:rsid w:val="0067281E"/>
    <w:rsid w:val="00672C8D"/>
    <w:rsid w:val="006736F2"/>
    <w:rsid w:val="00674788"/>
    <w:rsid w:val="0069413B"/>
    <w:rsid w:val="006A12F6"/>
    <w:rsid w:val="006A5442"/>
    <w:rsid w:val="006B51F6"/>
    <w:rsid w:val="006B7E0A"/>
    <w:rsid w:val="006C658C"/>
    <w:rsid w:val="006D22E6"/>
    <w:rsid w:val="006D727F"/>
    <w:rsid w:val="006E06AB"/>
    <w:rsid w:val="006F396F"/>
    <w:rsid w:val="006F5FEB"/>
    <w:rsid w:val="00707228"/>
    <w:rsid w:val="007128DD"/>
    <w:rsid w:val="007335D0"/>
    <w:rsid w:val="00742738"/>
    <w:rsid w:val="00743275"/>
    <w:rsid w:val="007670BB"/>
    <w:rsid w:val="00770AFB"/>
    <w:rsid w:val="00793231"/>
    <w:rsid w:val="0079445C"/>
    <w:rsid w:val="007A2BB2"/>
    <w:rsid w:val="007A4824"/>
    <w:rsid w:val="007A49FC"/>
    <w:rsid w:val="007A4B4C"/>
    <w:rsid w:val="007C0E65"/>
    <w:rsid w:val="007D5F87"/>
    <w:rsid w:val="007F5922"/>
    <w:rsid w:val="007F6673"/>
    <w:rsid w:val="008007DC"/>
    <w:rsid w:val="0080590F"/>
    <w:rsid w:val="008120DB"/>
    <w:rsid w:val="008151FE"/>
    <w:rsid w:val="00817748"/>
    <w:rsid w:val="008257D5"/>
    <w:rsid w:val="0083037F"/>
    <w:rsid w:val="00832C5E"/>
    <w:rsid w:val="0084023D"/>
    <w:rsid w:val="00842446"/>
    <w:rsid w:val="008454BB"/>
    <w:rsid w:val="00846F07"/>
    <w:rsid w:val="00853C75"/>
    <w:rsid w:val="00860E0E"/>
    <w:rsid w:val="00864640"/>
    <w:rsid w:val="008661CB"/>
    <w:rsid w:val="008814C2"/>
    <w:rsid w:val="008873A7"/>
    <w:rsid w:val="0088760A"/>
    <w:rsid w:val="00890819"/>
    <w:rsid w:val="008966A7"/>
    <w:rsid w:val="008A592B"/>
    <w:rsid w:val="008B0A37"/>
    <w:rsid w:val="008B1C30"/>
    <w:rsid w:val="008B3217"/>
    <w:rsid w:val="008C4BAC"/>
    <w:rsid w:val="008C69F7"/>
    <w:rsid w:val="008C7D50"/>
    <w:rsid w:val="008D4DD2"/>
    <w:rsid w:val="008D7409"/>
    <w:rsid w:val="008F339E"/>
    <w:rsid w:val="00902AB2"/>
    <w:rsid w:val="00902BC1"/>
    <w:rsid w:val="00904540"/>
    <w:rsid w:val="009116C7"/>
    <w:rsid w:val="00914CB1"/>
    <w:rsid w:val="00914F42"/>
    <w:rsid w:val="00923E1B"/>
    <w:rsid w:val="009248E8"/>
    <w:rsid w:val="00925CFB"/>
    <w:rsid w:val="00931526"/>
    <w:rsid w:val="009333B0"/>
    <w:rsid w:val="0093573B"/>
    <w:rsid w:val="00937C8B"/>
    <w:rsid w:val="00946622"/>
    <w:rsid w:val="00967877"/>
    <w:rsid w:val="00976569"/>
    <w:rsid w:val="00983892"/>
    <w:rsid w:val="00984211"/>
    <w:rsid w:val="00992E85"/>
    <w:rsid w:val="00993337"/>
    <w:rsid w:val="00994DF1"/>
    <w:rsid w:val="009A0475"/>
    <w:rsid w:val="009A3AC3"/>
    <w:rsid w:val="009A7284"/>
    <w:rsid w:val="009B4F72"/>
    <w:rsid w:val="009B65D0"/>
    <w:rsid w:val="009B7789"/>
    <w:rsid w:val="009C0708"/>
    <w:rsid w:val="009D4850"/>
    <w:rsid w:val="009D5947"/>
    <w:rsid w:val="009F2990"/>
    <w:rsid w:val="009F2DB4"/>
    <w:rsid w:val="00A01256"/>
    <w:rsid w:val="00A058D3"/>
    <w:rsid w:val="00A05D3D"/>
    <w:rsid w:val="00A11F4D"/>
    <w:rsid w:val="00A301CB"/>
    <w:rsid w:val="00A31504"/>
    <w:rsid w:val="00A3269E"/>
    <w:rsid w:val="00A33B16"/>
    <w:rsid w:val="00A3509F"/>
    <w:rsid w:val="00A420A7"/>
    <w:rsid w:val="00A43523"/>
    <w:rsid w:val="00A43A29"/>
    <w:rsid w:val="00A55FE3"/>
    <w:rsid w:val="00A61011"/>
    <w:rsid w:val="00A6299F"/>
    <w:rsid w:val="00A667BC"/>
    <w:rsid w:val="00A741CF"/>
    <w:rsid w:val="00A7606D"/>
    <w:rsid w:val="00A81C20"/>
    <w:rsid w:val="00A83012"/>
    <w:rsid w:val="00A849C8"/>
    <w:rsid w:val="00A95501"/>
    <w:rsid w:val="00AB10C5"/>
    <w:rsid w:val="00AB6909"/>
    <w:rsid w:val="00AB70D2"/>
    <w:rsid w:val="00AC0E8B"/>
    <w:rsid w:val="00AC201F"/>
    <w:rsid w:val="00AC58BB"/>
    <w:rsid w:val="00AD3913"/>
    <w:rsid w:val="00AD4FB7"/>
    <w:rsid w:val="00AE0C54"/>
    <w:rsid w:val="00AE20A3"/>
    <w:rsid w:val="00AE37AC"/>
    <w:rsid w:val="00AF16B5"/>
    <w:rsid w:val="00B17D53"/>
    <w:rsid w:val="00B21A9A"/>
    <w:rsid w:val="00B23BAF"/>
    <w:rsid w:val="00B23FF7"/>
    <w:rsid w:val="00B276E0"/>
    <w:rsid w:val="00B40548"/>
    <w:rsid w:val="00B45B5B"/>
    <w:rsid w:val="00B47B0A"/>
    <w:rsid w:val="00B47D80"/>
    <w:rsid w:val="00B50322"/>
    <w:rsid w:val="00B637F5"/>
    <w:rsid w:val="00B6504D"/>
    <w:rsid w:val="00B65EF8"/>
    <w:rsid w:val="00B6795E"/>
    <w:rsid w:val="00B96D0D"/>
    <w:rsid w:val="00BA20D8"/>
    <w:rsid w:val="00BB455C"/>
    <w:rsid w:val="00BB68DB"/>
    <w:rsid w:val="00BB7340"/>
    <w:rsid w:val="00BB75C0"/>
    <w:rsid w:val="00BC6AB0"/>
    <w:rsid w:val="00BD239B"/>
    <w:rsid w:val="00BD277C"/>
    <w:rsid w:val="00BD7046"/>
    <w:rsid w:val="00BE260E"/>
    <w:rsid w:val="00BE2617"/>
    <w:rsid w:val="00BE7B60"/>
    <w:rsid w:val="00C23359"/>
    <w:rsid w:val="00C247B1"/>
    <w:rsid w:val="00C2570C"/>
    <w:rsid w:val="00C30D7C"/>
    <w:rsid w:val="00C36678"/>
    <w:rsid w:val="00C36AE7"/>
    <w:rsid w:val="00C42560"/>
    <w:rsid w:val="00C464A1"/>
    <w:rsid w:val="00C5246A"/>
    <w:rsid w:val="00C53B44"/>
    <w:rsid w:val="00C72813"/>
    <w:rsid w:val="00C76734"/>
    <w:rsid w:val="00C810E7"/>
    <w:rsid w:val="00C8592B"/>
    <w:rsid w:val="00CA4B9F"/>
    <w:rsid w:val="00CB38B6"/>
    <w:rsid w:val="00CB4C35"/>
    <w:rsid w:val="00CB5678"/>
    <w:rsid w:val="00CB6B4E"/>
    <w:rsid w:val="00CC1AF1"/>
    <w:rsid w:val="00CC2577"/>
    <w:rsid w:val="00CC33FE"/>
    <w:rsid w:val="00CF1B20"/>
    <w:rsid w:val="00CF2E86"/>
    <w:rsid w:val="00CF68FE"/>
    <w:rsid w:val="00D11998"/>
    <w:rsid w:val="00D145DE"/>
    <w:rsid w:val="00D1638E"/>
    <w:rsid w:val="00D36F66"/>
    <w:rsid w:val="00D478C2"/>
    <w:rsid w:val="00D57D72"/>
    <w:rsid w:val="00D721B5"/>
    <w:rsid w:val="00D76C89"/>
    <w:rsid w:val="00D95C0B"/>
    <w:rsid w:val="00DA0069"/>
    <w:rsid w:val="00DA43CA"/>
    <w:rsid w:val="00DA4A3B"/>
    <w:rsid w:val="00DB38B0"/>
    <w:rsid w:val="00DB7B15"/>
    <w:rsid w:val="00DC42FF"/>
    <w:rsid w:val="00DC4498"/>
    <w:rsid w:val="00DD2098"/>
    <w:rsid w:val="00DD3760"/>
    <w:rsid w:val="00DE1104"/>
    <w:rsid w:val="00DE1E6F"/>
    <w:rsid w:val="00DF43FA"/>
    <w:rsid w:val="00DF5234"/>
    <w:rsid w:val="00E01A60"/>
    <w:rsid w:val="00E03B64"/>
    <w:rsid w:val="00E075C8"/>
    <w:rsid w:val="00E11816"/>
    <w:rsid w:val="00E24BC1"/>
    <w:rsid w:val="00E24D39"/>
    <w:rsid w:val="00E25D7D"/>
    <w:rsid w:val="00E3259E"/>
    <w:rsid w:val="00E329B4"/>
    <w:rsid w:val="00E42472"/>
    <w:rsid w:val="00E445D3"/>
    <w:rsid w:val="00E4700E"/>
    <w:rsid w:val="00E4742C"/>
    <w:rsid w:val="00E47663"/>
    <w:rsid w:val="00E52546"/>
    <w:rsid w:val="00E5643A"/>
    <w:rsid w:val="00E57F27"/>
    <w:rsid w:val="00E6290A"/>
    <w:rsid w:val="00E670BA"/>
    <w:rsid w:val="00E74362"/>
    <w:rsid w:val="00E77198"/>
    <w:rsid w:val="00E85234"/>
    <w:rsid w:val="00E8570B"/>
    <w:rsid w:val="00E85940"/>
    <w:rsid w:val="00E85DFB"/>
    <w:rsid w:val="00E90FA6"/>
    <w:rsid w:val="00E95768"/>
    <w:rsid w:val="00EB16F4"/>
    <w:rsid w:val="00EB28FE"/>
    <w:rsid w:val="00EB597A"/>
    <w:rsid w:val="00EB7900"/>
    <w:rsid w:val="00ED0BC9"/>
    <w:rsid w:val="00EE4EBF"/>
    <w:rsid w:val="00EF6D34"/>
    <w:rsid w:val="00F002E2"/>
    <w:rsid w:val="00F00BFF"/>
    <w:rsid w:val="00F06270"/>
    <w:rsid w:val="00F13690"/>
    <w:rsid w:val="00F15633"/>
    <w:rsid w:val="00F15C5C"/>
    <w:rsid w:val="00F25314"/>
    <w:rsid w:val="00F26536"/>
    <w:rsid w:val="00F30413"/>
    <w:rsid w:val="00F305FF"/>
    <w:rsid w:val="00F505AF"/>
    <w:rsid w:val="00F51739"/>
    <w:rsid w:val="00F54BEF"/>
    <w:rsid w:val="00F54E67"/>
    <w:rsid w:val="00F62C4E"/>
    <w:rsid w:val="00F63474"/>
    <w:rsid w:val="00F67F5A"/>
    <w:rsid w:val="00F73300"/>
    <w:rsid w:val="00F838D0"/>
    <w:rsid w:val="00F926C3"/>
    <w:rsid w:val="00FA3B0B"/>
    <w:rsid w:val="00FA6FFF"/>
    <w:rsid w:val="00FA708C"/>
    <w:rsid w:val="00FB5FD7"/>
    <w:rsid w:val="00FB5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p6">
    <w:name w:val="p6"/>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styleId="NormalWeb">
    <w:name w:val="Normal (Web)"/>
    <w:basedOn w:val="Normal"/>
    <w:pPr>
      <w:spacing w:before="280" w:after="280"/>
    </w:pPr>
    <w:rPr>
      <w:rFonts w:eastAsia="SimSun"/>
    </w:rPr>
  </w:style>
  <w:style w:type="paragraph" w:styleId="NoSpacing">
    <w:name w:val="No Spacing"/>
    <w:uiPriority w:val="1"/>
    <w:qFormat/>
    <w:pPr>
      <w:suppressAutoHyphens/>
    </w:pPr>
    <w:rPr>
      <w:rFonts w:ascii="Arial" w:eastAsia="Arial" w:hAnsi="Arial" w:cs="Arial"/>
      <w:sz w:val="24"/>
      <w:szCs w:val="24"/>
      <w:lang w:eastAsia="ar-SA"/>
    </w:rPr>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8B0A37"/>
    <w:pPr>
      <w:tabs>
        <w:tab w:val="center" w:pos="4680"/>
        <w:tab w:val="right" w:pos="9360"/>
      </w:tabs>
    </w:pPr>
  </w:style>
  <w:style w:type="character" w:customStyle="1" w:styleId="HeaderChar">
    <w:name w:val="Header Char"/>
    <w:basedOn w:val="DefaultParagraphFont"/>
    <w:link w:val="Header"/>
    <w:uiPriority w:val="99"/>
    <w:rsid w:val="008B0A37"/>
    <w:rPr>
      <w:sz w:val="24"/>
      <w:szCs w:val="24"/>
      <w:lang w:eastAsia="ar-SA"/>
    </w:rPr>
  </w:style>
  <w:style w:type="paragraph" w:styleId="Footer">
    <w:name w:val="footer"/>
    <w:basedOn w:val="Normal"/>
    <w:link w:val="FooterChar"/>
    <w:uiPriority w:val="99"/>
    <w:unhideWhenUsed/>
    <w:rsid w:val="008B0A37"/>
    <w:pPr>
      <w:tabs>
        <w:tab w:val="center" w:pos="4680"/>
        <w:tab w:val="right" w:pos="9360"/>
      </w:tabs>
    </w:pPr>
  </w:style>
  <w:style w:type="character" w:customStyle="1" w:styleId="FooterChar">
    <w:name w:val="Footer Char"/>
    <w:basedOn w:val="DefaultParagraphFont"/>
    <w:link w:val="Footer"/>
    <w:uiPriority w:val="99"/>
    <w:rsid w:val="008B0A37"/>
    <w:rPr>
      <w:sz w:val="24"/>
      <w:szCs w:val="24"/>
      <w:lang w:eastAsia="ar-SA"/>
    </w:rPr>
  </w:style>
  <w:style w:type="character" w:customStyle="1" w:styleId="sbe40fc821">
    <w:name w:val="s_be40fc821"/>
    <w:basedOn w:val="DefaultParagraphFont"/>
    <w:rsid w:val="00B276E0"/>
    <w:rPr>
      <w:rFonts w:ascii="Arial" w:hAnsi="Arial" w:cs="Arial" w:hint="default"/>
      <w:sz w:val="24"/>
      <w:szCs w:val="24"/>
    </w:rPr>
  </w:style>
  <w:style w:type="paragraph" w:customStyle="1" w:styleId="nospacing0">
    <w:name w:val="nospacing"/>
    <w:basedOn w:val="Normal"/>
    <w:rsid w:val="00B276E0"/>
    <w:pPr>
      <w:suppressAutoHyphens w:val="0"/>
    </w:pPr>
    <w:rPr>
      <w:rFonts w:ascii="Arial" w:hAnsi="Arial" w:cs="Arial"/>
      <w:lang w:eastAsia="en-US"/>
    </w:rPr>
  </w:style>
  <w:style w:type="character" w:customStyle="1" w:styleId="sb9221cd11">
    <w:name w:val="s_b9221cd11"/>
    <w:basedOn w:val="DefaultParagraphFont"/>
    <w:rsid w:val="00B276E0"/>
    <w:rPr>
      <w:rFonts w:ascii="Arial" w:hAnsi="Arial" w:cs="Arial" w:hint="default"/>
      <w:color w:val="000000"/>
      <w:sz w:val="24"/>
      <w:szCs w:val="24"/>
    </w:rPr>
  </w:style>
  <w:style w:type="paragraph" w:customStyle="1" w:styleId="normalweb0">
    <w:name w:val="normalweb"/>
    <w:basedOn w:val="Normal"/>
    <w:rsid w:val="00B276E0"/>
    <w:pPr>
      <w:suppressAutoHyphens w:val="0"/>
      <w:spacing w:before="100" w:after="100"/>
    </w:pPr>
    <w:rPr>
      <w:lang w:eastAsia="en-US"/>
    </w:rPr>
  </w:style>
  <w:style w:type="paragraph" w:customStyle="1" w:styleId="Normal1">
    <w:name w:val="Normal1"/>
    <w:basedOn w:val="Normal"/>
    <w:rsid w:val="00B276E0"/>
    <w:pPr>
      <w:suppressAutoHyphens w:val="0"/>
    </w:pPr>
    <w:rPr>
      <w:lang w:eastAsia="en-US"/>
    </w:rPr>
  </w:style>
  <w:style w:type="character" w:customStyle="1" w:styleId="s2cc9b3cb1">
    <w:name w:val="s_2cc9b3cb1"/>
    <w:basedOn w:val="DefaultParagraphFont"/>
    <w:rsid w:val="00B276E0"/>
    <w:rPr>
      <w:rFonts w:ascii="Segoe UI" w:hAnsi="Segoe UI" w:cs="Segoe UI" w:hint="default"/>
      <w:color w:val="000000"/>
      <w:sz w:val="22"/>
      <w:szCs w:val="22"/>
    </w:rPr>
  </w:style>
  <w:style w:type="character" w:customStyle="1" w:styleId="s51202cb41">
    <w:name w:val="s_51202cb41"/>
    <w:basedOn w:val="DefaultParagraphFont"/>
    <w:rsid w:val="00B276E0"/>
    <w:rPr>
      <w:rFonts w:ascii="Arial" w:hAnsi="Arial" w:cs="Arial" w:hint="default"/>
    </w:rPr>
  </w:style>
  <w:style w:type="character" w:customStyle="1" w:styleId="defaultparagraphfont1">
    <w:name w:val="defaultparagraphfont1"/>
    <w:basedOn w:val="DefaultParagraphFont"/>
    <w:rsid w:val="00B276E0"/>
    <w:rPr>
      <w:rFonts w:ascii="Times New Roman" w:hAnsi="Times New Roman" w:cs="Times New Roman" w:hint="default"/>
      <w:b w:val="0"/>
      <w:bCs w:val="0"/>
      <w:i w:val="0"/>
      <w:iCs w:val="0"/>
      <w:sz w:val="22"/>
      <w:szCs w:val="22"/>
    </w:rPr>
  </w:style>
  <w:style w:type="paragraph" w:customStyle="1" w:styleId="NoSpacing1">
    <w:name w:val="NoSpacing"/>
    <w:qFormat/>
    <w:rsid w:val="00BD277C"/>
    <w:pPr>
      <w:autoSpaceDE w:val="0"/>
      <w:autoSpaceDN w:val="0"/>
      <w:adjustRightInd w:val="0"/>
    </w:pPr>
    <w:rPr>
      <w:rFonts w:ascii="Arial" w:hAnsi="Arial"/>
      <w:sz w:val="24"/>
      <w:szCs w:val="24"/>
    </w:rPr>
  </w:style>
  <w:style w:type="character" w:styleId="CommentReference">
    <w:name w:val="annotation reference"/>
    <w:basedOn w:val="DefaultParagraphFont"/>
    <w:uiPriority w:val="99"/>
    <w:semiHidden/>
    <w:unhideWhenUsed/>
    <w:rsid w:val="003F4F7A"/>
    <w:rPr>
      <w:sz w:val="16"/>
      <w:szCs w:val="16"/>
    </w:rPr>
  </w:style>
  <w:style w:type="paragraph" w:styleId="CommentText">
    <w:name w:val="annotation text"/>
    <w:basedOn w:val="Normal"/>
    <w:link w:val="CommentTextChar"/>
    <w:uiPriority w:val="99"/>
    <w:semiHidden/>
    <w:unhideWhenUsed/>
    <w:rsid w:val="003F4F7A"/>
    <w:rPr>
      <w:sz w:val="20"/>
      <w:szCs w:val="20"/>
    </w:rPr>
  </w:style>
  <w:style w:type="character" w:customStyle="1" w:styleId="CommentTextChar">
    <w:name w:val="Comment Text Char"/>
    <w:basedOn w:val="DefaultParagraphFont"/>
    <w:link w:val="CommentText"/>
    <w:uiPriority w:val="99"/>
    <w:semiHidden/>
    <w:rsid w:val="003F4F7A"/>
    <w:rPr>
      <w:lang w:eastAsia="ar-SA"/>
    </w:rPr>
  </w:style>
  <w:style w:type="paragraph" w:styleId="CommentSubject">
    <w:name w:val="annotation subject"/>
    <w:basedOn w:val="CommentText"/>
    <w:next w:val="CommentText"/>
    <w:link w:val="CommentSubjectChar"/>
    <w:uiPriority w:val="99"/>
    <w:semiHidden/>
    <w:unhideWhenUsed/>
    <w:rsid w:val="003F4F7A"/>
    <w:rPr>
      <w:b/>
      <w:bCs/>
    </w:rPr>
  </w:style>
  <w:style w:type="character" w:customStyle="1" w:styleId="CommentSubjectChar">
    <w:name w:val="Comment Subject Char"/>
    <w:basedOn w:val="CommentTextChar"/>
    <w:link w:val="CommentSubject"/>
    <w:uiPriority w:val="99"/>
    <w:semiHidden/>
    <w:rsid w:val="003F4F7A"/>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p6">
    <w:name w:val="p6"/>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styleId="NormalWeb">
    <w:name w:val="Normal (Web)"/>
    <w:basedOn w:val="Normal"/>
    <w:pPr>
      <w:spacing w:before="280" w:after="280"/>
    </w:pPr>
    <w:rPr>
      <w:rFonts w:eastAsia="SimSun"/>
    </w:rPr>
  </w:style>
  <w:style w:type="paragraph" w:styleId="NoSpacing">
    <w:name w:val="No Spacing"/>
    <w:uiPriority w:val="1"/>
    <w:qFormat/>
    <w:pPr>
      <w:suppressAutoHyphens/>
    </w:pPr>
    <w:rPr>
      <w:rFonts w:ascii="Arial" w:eastAsia="Arial" w:hAnsi="Arial" w:cs="Arial"/>
      <w:sz w:val="24"/>
      <w:szCs w:val="24"/>
      <w:lang w:eastAsia="ar-SA"/>
    </w:rPr>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8B0A37"/>
    <w:pPr>
      <w:tabs>
        <w:tab w:val="center" w:pos="4680"/>
        <w:tab w:val="right" w:pos="9360"/>
      </w:tabs>
    </w:pPr>
  </w:style>
  <w:style w:type="character" w:customStyle="1" w:styleId="HeaderChar">
    <w:name w:val="Header Char"/>
    <w:basedOn w:val="DefaultParagraphFont"/>
    <w:link w:val="Header"/>
    <w:uiPriority w:val="99"/>
    <w:rsid w:val="008B0A37"/>
    <w:rPr>
      <w:sz w:val="24"/>
      <w:szCs w:val="24"/>
      <w:lang w:eastAsia="ar-SA"/>
    </w:rPr>
  </w:style>
  <w:style w:type="paragraph" w:styleId="Footer">
    <w:name w:val="footer"/>
    <w:basedOn w:val="Normal"/>
    <w:link w:val="FooterChar"/>
    <w:uiPriority w:val="99"/>
    <w:unhideWhenUsed/>
    <w:rsid w:val="008B0A37"/>
    <w:pPr>
      <w:tabs>
        <w:tab w:val="center" w:pos="4680"/>
        <w:tab w:val="right" w:pos="9360"/>
      </w:tabs>
    </w:pPr>
  </w:style>
  <w:style w:type="character" w:customStyle="1" w:styleId="FooterChar">
    <w:name w:val="Footer Char"/>
    <w:basedOn w:val="DefaultParagraphFont"/>
    <w:link w:val="Footer"/>
    <w:uiPriority w:val="99"/>
    <w:rsid w:val="008B0A37"/>
    <w:rPr>
      <w:sz w:val="24"/>
      <w:szCs w:val="24"/>
      <w:lang w:eastAsia="ar-SA"/>
    </w:rPr>
  </w:style>
  <w:style w:type="character" w:customStyle="1" w:styleId="sbe40fc821">
    <w:name w:val="s_be40fc821"/>
    <w:basedOn w:val="DefaultParagraphFont"/>
    <w:rsid w:val="00B276E0"/>
    <w:rPr>
      <w:rFonts w:ascii="Arial" w:hAnsi="Arial" w:cs="Arial" w:hint="default"/>
      <w:sz w:val="24"/>
      <w:szCs w:val="24"/>
    </w:rPr>
  </w:style>
  <w:style w:type="paragraph" w:customStyle="1" w:styleId="nospacing0">
    <w:name w:val="nospacing"/>
    <w:basedOn w:val="Normal"/>
    <w:rsid w:val="00B276E0"/>
    <w:pPr>
      <w:suppressAutoHyphens w:val="0"/>
    </w:pPr>
    <w:rPr>
      <w:rFonts w:ascii="Arial" w:hAnsi="Arial" w:cs="Arial"/>
      <w:lang w:eastAsia="en-US"/>
    </w:rPr>
  </w:style>
  <w:style w:type="character" w:customStyle="1" w:styleId="sb9221cd11">
    <w:name w:val="s_b9221cd11"/>
    <w:basedOn w:val="DefaultParagraphFont"/>
    <w:rsid w:val="00B276E0"/>
    <w:rPr>
      <w:rFonts w:ascii="Arial" w:hAnsi="Arial" w:cs="Arial" w:hint="default"/>
      <w:color w:val="000000"/>
      <w:sz w:val="24"/>
      <w:szCs w:val="24"/>
    </w:rPr>
  </w:style>
  <w:style w:type="paragraph" w:customStyle="1" w:styleId="normalweb0">
    <w:name w:val="normalweb"/>
    <w:basedOn w:val="Normal"/>
    <w:rsid w:val="00B276E0"/>
    <w:pPr>
      <w:suppressAutoHyphens w:val="0"/>
      <w:spacing w:before="100" w:after="100"/>
    </w:pPr>
    <w:rPr>
      <w:lang w:eastAsia="en-US"/>
    </w:rPr>
  </w:style>
  <w:style w:type="paragraph" w:customStyle="1" w:styleId="Normal1">
    <w:name w:val="Normal1"/>
    <w:basedOn w:val="Normal"/>
    <w:rsid w:val="00B276E0"/>
    <w:pPr>
      <w:suppressAutoHyphens w:val="0"/>
    </w:pPr>
    <w:rPr>
      <w:lang w:eastAsia="en-US"/>
    </w:rPr>
  </w:style>
  <w:style w:type="character" w:customStyle="1" w:styleId="s2cc9b3cb1">
    <w:name w:val="s_2cc9b3cb1"/>
    <w:basedOn w:val="DefaultParagraphFont"/>
    <w:rsid w:val="00B276E0"/>
    <w:rPr>
      <w:rFonts w:ascii="Segoe UI" w:hAnsi="Segoe UI" w:cs="Segoe UI" w:hint="default"/>
      <w:color w:val="000000"/>
      <w:sz w:val="22"/>
      <w:szCs w:val="22"/>
    </w:rPr>
  </w:style>
  <w:style w:type="character" w:customStyle="1" w:styleId="s51202cb41">
    <w:name w:val="s_51202cb41"/>
    <w:basedOn w:val="DefaultParagraphFont"/>
    <w:rsid w:val="00B276E0"/>
    <w:rPr>
      <w:rFonts w:ascii="Arial" w:hAnsi="Arial" w:cs="Arial" w:hint="default"/>
    </w:rPr>
  </w:style>
  <w:style w:type="character" w:customStyle="1" w:styleId="defaultparagraphfont1">
    <w:name w:val="defaultparagraphfont1"/>
    <w:basedOn w:val="DefaultParagraphFont"/>
    <w:rsid w:val="00B276E0"/>
    <w:rPr>
      <w:rFonts w:ascii="Times New Roman" w:hAnsi="Times New Roman" w:cs="Times New Roman" w:hint="default"/>
      <w:b w:val="0"/>
      <w:bCs w:val="0"/>
      <w:i w:val="0"/>
      <w:iCs w:val="0"/>
      <w:sz w:val="22"/>
      <w:szCs w:val="22"/>
    </w:rPr>
  </w:style>
  <w:style w:type="paragraph" w:customStyle="1" w:styleId="NoSpacing1">
    <w:name w:val="NoSpacing"/>
    <w:qFormat/>
    <w:rsid w:val="00BD277C"/>
    <w:pPr>
      <w:autoSpaceDE w:val="0"/>
      <w:autoSpaceDN w:val="0"/>
      <w:adjustRightInd w:val="0"/>
    </w:pPr>
    <w:rPr>
      <w:rFonts w:ascii="Arial" w:hAnsi="Arial"/>
      <w:sz w:val="24"/>
      <w:szCs w:val="24"/>
    </w:rPr>
  </w:style>
  <w:style w:type="character" w:styleId="CommentReference">
    <w:name w:val="annotation reference"/>
    <w:basedOn w:val="DefaultParagraphFont"/>
    <w:uiPriority w:val="99"/>
    <w:semiHidden/>
    <w:unhideWhenUsed/>
    <w:rsid w:val="003F4F7A"/>
    <w:rPr>
      <w:sz w:val="16"/>
      <w:szCs w:val="16"/>
    </w:rPr>
  </w:style>
  <w:style w:type="paragraph" w:styleId="CommentText">
    <w:name w:val="annotation text"/>
    <w:basedOn w:val="Normal"/>
    <w:link w:val="CommentTextChar"/>
    <w:uiPriority w:val="99"/>
    <w:semiHidden/>
    <w:unhideWhenUsed/>
    <w:rsid w:val="003F4F7A"/>
    <w:rPr>
      <w:sz w:val="20"/>
      <w:szCs w:val="20"/>
    </w:rPr>
  </w:style>
  <w:style w:type="character" w:customStyle="1" w:styleId="CommentTextChar">
    <w:name w:val="Comment Text Char"/>
    <w:basedOn w:val="DefaultParagraphFont"/>
    <w:link w:val="CommentText"/>
    <w:uiPriority w:val="99"/>
    <w:semiHidden/>
    <w:rsid w:val="003F4F7A"/>
    <w:rPr>
      <w:lang w:eastAsia="ar-SA"/>
    </w:rPr>
  </w:style>
  <w:style w:type="paragraph" w:styleId="CommentSubject">
    <w:name w:val="annotation subject"/>
    <w:basedOn w:val="CommentText"/>
    <w:next w:val="CommentText"/>
    <w:link w:val="CommentSubjectChar"/>
    <w:uiPriority w:val="99"/>
    <w:semiHidden/>
    <w:unhideWhenUsed/>
    <w:rsid w:val="003F4F7A"/>
    <w:rPr>
      <w:b/>
      <w:bCs/>
    </w:rPr>
  </w:style>
  <w:style w:type="character" w:customStyle="1" w:styleId="CommentSubjectChar">
    <w:name w:val="Comment Subject Char"/>
    <w:basedOn w:val="CommentTextChar"/>
    <w:link w:val="CommentSubject"/>
    <w:uiPriority w:val="99"/>
    <w:semiHidden/>
    <w:rsid w:val="003F4F7A"/>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DC687-AD9C-40F3-B6D0-14E4EAA58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240A7D9F</Template>
  <TotalTime>0</TotalTime>
  <Pages>13</Pages>
  <Words>3258</Words>
  <Characters>18573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Susan Chan</cp:lastModifiedBy>
  <cp:revision>2</cp:revision>
  <cp:lastPrinted>2016-06-13T21:21:00Z</cp:lastPrinted>
  <dcterms:created xsi:type="dcterms:W3CDTF">2016-09-26T17:31:00Z</dcterms:created>
  <dcterms:modified xsi:type="dcterms:W3CDTF">2016-09-26T17:31:00Z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