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BC9" w:rsidRPr="00583BC9" w:rsidRDefault="00583BC9" w:rsidP="00583BC9">
      <w:pPr>
        <w:tabs>
          <w:tab w:val="left" w:pos="3960"/>
        </w:tabs>
        <w:spacing w:line="360" w:lineRule="auto"/>
        <w:jc w:val="right"/>
        <w:rPr>
          <w:rFonts w:ascii="Arial" w:hAnsi="Arial" w:cs="Arial"/>
          <w:b/>
          <w:color w:val="FF0000"/>
          <w:sz w:val="28"/>
          <w:szCs w:val="28"/>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48692B" w:rsidRDefault="0048692B" w:rsidP="00583BC9">
      <w:pPr>
        <w:spacing w:line="360" w:lineRule="auto"/>
        <w:jc w:val="center"/>
        <w:rPr>
          <w:rFonts w:ascii="Arial" w:hAnsi="Arial" w:cs="Arial"/>
        </w:rPr>
      </w:pPr>
    </w:p>
    <w:p w:rsidR="00583BC9" w:rsidRPr="00583BC9" w:rsidRDefault="0048692B" w:rsidP="00583BC9">
      <w:pPr>
        <w:spacing w:line="360" w:lineRule="auto"/>
        <w:jc w:val="center"/>
        <w:rPr>
          <w:rFonts w:ascii="Arial" w:hAnsi="Arial" w:cs="Arial"/>
        </w:rPr>
      </w:pPr>
      <w:r>
        <w:rPr>
          <w:rFonts w:ascii="Arial" w:hAnsi="Arial" w:cs="Arial"/>
        </w:rPr>
        <w:t>UCLA HEALTH – F</w:t>
      </w:r>
      <w:r w:rsidR="00583BC9" w:rsidRPr="00583BC9">
        <w:rPr>
          <w:rFonts w:ascii="Arial" w:hAnsi="Arial" w:cs="Arial"/>
        </w:rPr>
        <w:t>AIR WAGE/FAIR WORK</w:t>
      </w:r>
    </w:p>
    <w:p w:rsidR="00583BC9" w:rsidRPr="00583BC9" w:rsidRDefault="00BC3D04" w:rsidP="00583BC9">
      <w:pPr>
        <w:spacing w:line="360" w:lineRule="auto"/>
        <w:jc w:val="center"/>
        <w:rPr>
          <w:rFonts w:ascii="Arial" w:hAnsi="Arial" w:cs="Arial"/>
        </w:rPr>
      </w:pPr>
      <w:r>
        <w:rPr>
          <w:rFonts w:ascii="Arial" w:hAnsi="Arial" w:cs="Arial"/>
        </w:rPr>
        <w:t>AUDIT REPORT #19</w:t>
      </w:r>
      <w:r w:rsidR="00583BC9" w:rsidRPr="00583BC9">
        <w:rPr>
          <w:rFonts w:ascii="Arial" w:hAnsi="Arial" w:cs="Arial"/>
        </w:rPr>
        <w:t>-60120</w:t>
      </w:r>
      <w:r>
        <w:rPr>
          <w:rFonts w:ascii="Arial" w:hAnsi="Arial" w:cs="Arial"/>
        </w:rPr>
        <w:t>1</w:t>
      </w:r>
    </w:p>
    <w:p w:rsidR="00583BC9" w:rsidRDefault="00583BC9" w:rsidP="00583BC9">
      <w:pPr>
        <w:spacing w:line="360" w:lineRule="auto"/>
        <w:jc w:val="center"/>
        <w:rPr>
          <w:rFonts w:ascii="Arial" w:hAnsi="Arial" w:cs="Arial"/>
        </w:rPr>
      </w:pPr>
    </w:p>
    <w:p w:rsidR="00C9686D" w:rsidRPr="00583BC9" w:rsidRDefault="00C9686D"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583BC9" w:rsidRPr="00583BC9" w:rsidRDefault="00583BC9" w:rsidP="00583BC9">
      <w:pPr>
        <w:spacing w:line="360" w:lineRule="auto"/>
        <w:jc w:val="center"/>
        <w:rPr>
          <w:rFonts w:ascii="Arial" w:hAnsi="Arial" w:cs="Arial"/>
        </w:rPr>
      </w:pPr>
    </w:p>
    <w:p w:rsidR="009A202D" w:rsidRPr="00583BC9" w:rsidRDefault="009A202D" w:rsidP="00583BC9">
      <w:pPr>
        <w:spacing w:line="360" w:lineRule="auto"/>
        <w:jc w:val="center"/>
        <w:rPr>
          <w:rFonts w:ascii="Arial" w:hAnsi="Arial" w:cs="Arial"/>
        </w:rPr>
      </w:pPr>
    </w:p>
    <w:p w:rsidR="009A202D" w:rsidRDefault="00583BC9" w:rsidP="00583BC9">
      <w:pPr>
        <w:jc w:val="center"/>
        <w:rPr>
          <w:rFonts w:ascii="Arial" w:hAnsi="Arial" w:cs="Arial"/>
          <w:sz w:val="16"/>
          <w:szCs w:val="16"/>
        </w:rPr>
      </w:pPr>
      <w:r w:rsidRPr="00583BC9">
        <w:rPr>
          <w:rFonts w:ascii="Arial" w:hAnsi="Arial" w:cs="Arial"/>
          <w:sz w:val="16"/>
          <w:szCs w:val="16"/>
        </w:rPr>
        <w:t>Audit &amp; Advisory Services</w:t>
      </w:r>
    </w:p>
    <w:p w:rsidR="00583BC9" w:rsidRPr="00583BC9" w:rsidRDefault="009A202D" w:rsidP="00583BC9">
      <w:pPr>
        <w:jc w:val="center"/>
        <w:rPr>
          <w:rFonts w:ascii="Arial" w:hAnsi="Arial" w:cs="Arial"/>
          <w:sz w:val="16"/>
          <w:szCs w:val="16"/>
        </w:rPr>
      </w:pPr>
      <w:r>
        <w:rPr>
          <w:rFonts w:ascii="Arial" w:hAnsi="Arial" w:cs="Arial"/>
          <w:sz w:val="16"/>
          <w:szCs w:val="16"/>
        </w:rPr>
        <w:t>August 2019</w:t>
      </w:r>
      <w:r w:rsidR="00583BC9" w:rsidRPr="00583BC9">
        <w:rPr>
          <w:rFonts w:ascii="Arial" w:hAnsi="Arial" w:cs="Arial"/>
          <w:sz w:val="16"/>
          <w:szCs w:val="16"/>
        </w:rPr>
        <w:br w:type="page"/>
      </w:r>
    </w:p>
    <w:p w:rsidR="00583BC9" w:rsidRPr="00583BC9" w:rsidRDefault="00583BC9" w:rsidP="00583BC9">
      <w:pPr>
        <w:jc w:val="center"/>
        <w:rPr>
          <w:rFonts w:ascii="Arial" w:hAnsi="Arial" w:cs="Arial"/>
          <w:sz w:val="22"/>
          <w:szCs w:val="22"/>
        </w:rPr>
        <w:sectPr w:rsidR="00583BC9" w:rsidRPr="00583BC9" w:rsidSect="0048692B">
          <w:footerReference w:type="default" r:id="rId7"/>
          <w:pgSz w:w="15840" w:h="12240" w:orient="landscape" w:code="1"/>
          <w:pgMar w:top="1440" w:right="1440" w:bottom="1080" w:left="1440" w:header="720" w:footer="720" w:gutter="0"/>
          <w:pgNumType w:start="1"/>
          <w:cols w:space="720"/>
          <w:titlePg/>
          <w:docGrid w:linePitch="360"/>
        </w:sectPr>
      </w:pPr>
    </w:p>
    <w:p w:rsidR="00583BC9" w:rsidRPr="00C9686D" w:rsidRDefault="0048692B" w:rsidP="00C9686D">
      <w:pPr>
        <w:spacing w:line="360" w:lineRule="auto"/>
        <w:jc w:val="center"/>
        <w:rPr>
          <w:rFonts w:ascii="Arial" w:hAnsi="Arial" w:cs="Arial"/>
        </w:rPr>
      </w:pPr>
      <w:r w:rsidRPr="00C9686D">
        <w:rPr>
          <w:rFonts w:ascii="Arial" w:hAnsi="Arial" w:cs="Arial"/>
        </w:rPr>
        <w:lastRenderedPageBreak/>
        <w:t>UCLA HEALTH – F</w:t>
      </w:r>
      <w:r w:rsidR="00583BC9" w:rsidRPr="00C9686D">
        <w:rPr>
          <w:rFonts w:ascii="Arial" w:hAnsi="Arial" w:cs="Arial"/>
        </w:rPr>
        <w:t>AIR WAGE/FAIR WORK</w:t>
      </w:r>
    </w:p>
    <w:p w:rsidR="00583BC9" w:rsidRPr="00C9686D" w:rsidRDefault="00583BC9" w:rsidP="00C9686D">
      <w:pPr>
        <w:spacing w:line="360" w:lineRule="auto"/>
        <w:jc w:val="center"/>
        <w:rPr>
          <w:rFonts w:ascii="Arial" w:hAnsi="Arial" w:cs="Arial"/>
        </w:rPr>
      </w:pPr>
      <w:r w:rsidRPr="00C9686D">
        <w:rPr>
          <w:rFonts w:ascii="Arial" w:hAnsi="Arial" w:cs="Arial"/>
        </w:rPr>
        <w:t>AUDIT REPORT #1</w:t>
      </w:r>
      <w:r w:rsidR="00BC3D04" w:rsidRPr="00C9686D">
        <w:rPr>
          <w:rFonts w:ascii="Arial" w:hAnsi="Arial" w:cs="Arial"/>
        </w:rPr>
        <w:t>9</w:t>
      </w:r>
      <w:r w:rsidRPr="00C9686D">
        <w:rPr>
          <w:rFonts w:ascii="Arial" w:hAnsi="Arial" w:cs="Arial"/>
        </w:rPr>
        <w:t>-60120</w:t>
      </w:r>
      <w:r w:rsidR="00BC3D04" w:rsidRPr="00C9686D">
        <w:rPr>
          <w:rFonts w:ascii="Arial" w:hAnsi="Arial" w:cs="Arial"/>
        </w:rPr>
        <w:t>1</w:t>
      </w:r>
    </w:p>
    <w:p w:rsidR="00583BC9" w:rsidRPr="00C9686D" w:rsidRDefault="00583BC9" w:rsidP="00C9686D">
      <w:pPr>
        <w:spacing w:line="360" w:lineRule="auto"/>
        <w:jc w:val="both"/>
        <w:rPr>
          <w:rFonts w:ascii="Arial" w:hAnsi="Arial" w:cs="Arial"/>
        </w:rPr>
      </w:pPr>
    </w:p>
    <w:p w:rsidR="00583BC9" w:rsidRPr="00C9686D" w:rsidRDefault="00583BC9" w:rsidP="00C9686D">
      <w:pPr>
        <w:spacing w:line="360" w:lineRule="auto"/>
        <w:jc w:val="both"/>
        <w:rPr>
          <w:rFonts w:ascii="Arial" w:hAnsi="Arial" w:cs="Arial"/>
          <w:u w:val="single"/>
        </w:rPr>
      </w:pPr>
      <w:r w:rsidRPr="00C9686D">
        <w:rPr>
          <w:rFonts w:ascii="Arial" w:hAnsi="Arial" w:cs="Arial"/>
          <w:u w:val="single"/>
        </w:rPr>
        <w:t>Background</w:t>
      </w:r>
    </w:p>
    <w:p w:rsidR="00583BC9" w:rsidRPr="00C9686D" w:rsidRDefault="00583BC9" w:rsidP="00C9686D">
      <w:pPr>
        <w:spacing w:line="360" w:lineRule="auto"/>
        <w:jc w:val="both"/>
        <w:rPr>
          <w:rFonts w:ascii="Arial" w:hAnsi="Arial" w:cs="Arial"/>
        </w:rPr>
      </w:pPr>
    </w:p>
    <w:p w:rsidR="00583BC9" w:rsidRPr="00C9686D" w:rsidRDefault="00583BC9" w:rsidP="00C9686D">
      <w:pPr>
        <w:spacing w:line="360" w:lineRule="auto"/>
        <w:jc w:val="both"/>
        <w:rPr>
          <w:rFonts w:ascii="Arial" w:hAnsi="Arial" w:cs="Arial"/>
        </w:rPr>
      </w:pPr>
      <w:r w:rsidRPr="00C9686D">
        <w:rPr>
          <w:rFonts w:ascii="Arial" w:hAnsi="Arial" w:cs="Arial"/>
        </w:rPr>
        <w:t xml:space="preserve">As part of the University of California Office of the President (UCOP) initiative to implement the Fair Wage/Fair Work (FW/FW) plan, audits were performed systemwide to assess campus compliance with the requirements as they pertain to suppliers.  UCLA Audit &amp; Advisory Services (A&amp;AS) has conducted such an audit of UCLA purchasing departments’ procedures.  This is the </w:t>
      </w:r>
      <w:r w:rsidR="00806D9E" w:rsidRPr="00C9686D">
        <w:rPr>
          <w:rFonts w:ascii="Arial" w:hAnsi="Arial" w:cs="Arial"/>
        </w:rPr>
        <w:t>third</w:t>
      </w:r>
      <w:r w:rsidRPr="00C9686D">
        <w:rPr>
          <w:rFonts w:ascii="Arial" w:hAnsi="Arial" w:cs="Arial"/>
        </w:rPr>
        <w:t xml:space="preserve"> annual audit.</w:t>
      </w:r>
    </w:p>
    <w:p w:rsidR="00583BC9" w:rsidRPr="00C9686D" w:rsidRDefault="00583BC9" w:rsidP="00C9686D">
      <w:pPr>
        <w:spacing w:line="360" w:lineRule="auto"/>
        <w:jc w:val="both"/>
        <w:rPr>
          <w:rFonts w:ascii="Arial" w:hAnsi="Arial" w:cs="Arial"/>
        </w:rPr>
      </w:pPr>
    </w:p>
    <w:p w:rsidR="00583BC9" w:rsidRPr="00C9686D" w:rsidRDefault="00583BC9" w:rsidP="00C9686D">
      <w:pPr>
        <w:spacing w:line="360" w:lineRule="auto"/>
        <w:jc w:val="both"/>
        <w:rPr>
          <w:rFonts w:ascii="Arial" w:hAnsi="Arial" w:cs="Arial"/>
        </w:rPr>
      </w:pPr>
      <w:r w:rsidRPr="00C9686D">
        <w:rPr>
          <w:rFonts w:ascii="Arial" w:hAnsi="Arial" w:cs="Arial"/>
        </w:rPr>
        <w:t>The initiative, announced in July 2015, established a University of California (UC) minimum level of pay for employees to ensure that all UC workers are provided a fair wage.  The plan guaranteed that UC employees hired to work at least 20 hours a week would be paid at least $13 an hour by October 1, 2015, increasing to $15 an hour by October 1, 2017.  The plan also requires certain suppliers to pay their employees the UC Fair Wage (defined as $15 per hour as of October 1, 2017).  As part of the FW/FW plan, UC is to monitor wage</w:t>
      </w:r>
      <w:r w:rsidR="00542637" w:rsidRPr="00C9686D">
        <w:rPr>
          <w:rFonts w:ascii="Arial" w:hAnsi="Arial" w:cs="Arial"/>
        </w:rPr>
        <w:t>s</w:t>
      </w:r>
      <w:r w:rsidRPr="00C9686D">
        <w:rPr>
          <w:rFonts w:ascii="Arial" w:hAnsi="Arial" w:cs="Arial"/>
        </w:rPr>
        <w:t xml:space="preserve"> for suppliers’ employees. </w:t>
      </w:r>
    </w:p>
    <w:p w:rsidR="00583BC9" w:rsidRPr="00C9686D" w:rsidRDefault="00583BC9" w:rsidP="00C9686D">
      <w:pPr>
        <w:spacing w:line="360" w:lineRule="auto"/>
        <w:jc w:val="both"/>
        <w:rPr>
          <w:rFonts w:ascii="Arial" w:hAnsi="Arial" w:cs="Arial"/>
        </w:rPr>
      </w:pPr>
    </w:p>
    <w:p w:rsidR="00583BC9" w:rsidRPr="00C9686D" w:rsidRDefault="00583BC9" w:rsidP="00C9686D">
      <w:pPr>
        <w:spacing w:line="360" w:lineRule="auto"/>
        <w:jc w:val="both"/>
        <w:rPr>
          <w:rFonts w:ascii="Arial" w:hAnsi="Arial" w:cs="Arial"/>
        </w:rPr>
      </w:pPr>
      <w:r w:rsidRPr="00C9686D">
        <w:rPr>
          <w:rFonts w:ascii="Arial" w:hAnsi="Arial" w:cs="Arial"/>
        </w:rPr>
        <w:t xml:space="preserve">For service agreements that exceed $100,000 annually, the supplier, at its own expense, must have an annual compensation audit.  These audits are to be performed by the supplier’s independent auditor or independent internal audit department “in compliance with UC’s required audit standards and procedures” to assess the supplier’s compliance with the plan.  Such suppliers must also provide a UC Fair Wage/Fair Work </w:t>
      </w:r>
      <w:r w:rsidR="00BC3D04" w:rsidRPr="00C9686D">
        <w:rPr>
          <w:rFonts w:ascii="Arial" w:hAnsi="Arial" w:cs="Arial"/>
        </w:rPr>
        <w:t>Independent Accountant/Internal Auditor Verification</w:t>
      </w:r>
      <w:r w:rsidRPr="00C9686D">
        <w:rPr>
          <w:rFonts w:ascii="Arial" w:hAnsi="Arial" w:cs="Arial"/>
        </w:rPr>
        <w:t xml:space="preserve"> annually, no later than 90 days after each one-year anniversary of an agreement’s effective date, for the twelve months immediately preceding the anniversary date.  Additionally, in the event of a UC interim audit, the supplier must ensure that its auditors make a</w:t>
      </w:r>
      <w:r w:rsidR="00BC3D04" w:rsidRPr="00C9686D">
        <w:rPr>
          <w:rFonts w:ascii="Arial" w:hAnsi="Arial" w:cs="Arial"/>
        </w:rPr>
        <w:t>vailable to UC their FW/FW work</w:t>
      </w:r>
      <w:r w:rsidRPr="00C9686D">
        <w:rPr>
          <w:rFonts w:ascii="Arial" w:hAnsi="Arial" w:cs="Arial"/>
        </w:rPr>
        <w:t xml:space="preserve">papers for the most recently audited time period.  </w:t>
      </w:r>
    </w:p>
    <w:p w:rsidR="00583BC9" w:rsidRPr="00C9686D" w:rsidRDefault="00583BC9" w:rsidP="00C9686D">
      <w:pPr>
        <w:spacing w:line="360" w:lineRule="auto"/>
        <w:jc w:val="both"/>
        <w:rPr>
          <w:rFonts w:ascii="Arial" w:hAnsi="Arial" w:cs="Arial"/>
        </w:rPr>
      </w:pPr>
      <w:r w:rsidRPr="00C9686D">
        <w:rPr>
          <w:rFonts w:ascii="Arial" w:hAnsi="Arial" w:cs="Arial"/>
        </w:rPr>
        <w:lastRenderedPageBreak/>
        <w:t xml:space="preserve">To implement the plan, campus purchasing departments must identify and monitor all contracts subject to the FW/FW provisions, including those vendors with approved exemptions.  Any supplier exempted from the FW/FW provisions must be approved by a campus senior procurement officer or by the systemwide Chief Procurement Officer.  For service agreements that exceed $100,000 annually, the campus purchasing departments should remind the suppliers of the FW/FW audit requirements before the agreement’s anniversary date and request the annual FW/FW </w:t>
      </w:r>
      <w:r w:rsidR="00EA44A2" w:rsidRPr="00C9686D">
        <w:rPr>
          <w:rFonts w:ascii="Arial" w:hAnsi="Arial" w:cs="Arial"/>
        </w:rPr>
        <w:t xml:space="preserve">Independent Accountant/Internal </w:t>
      </w:r>
      <w:r w:rsidRPr="00C9686D">
        <w:rPr>
          <w:rFonts w:ascii="Arial" w:hAnsi="Arial" w:cs="Arial"/>
        </w:rPr>
        <w:t xml:space="preserve">Auditor </w:t>
      </w:r>
      <w:r w:rsidR="00EA44A2" w:rsidRPr="00C9686D">
        <w:rPr>
          <w:rFonts w:ascii="Arial" w:hAnsi="Arial" w:cs="Arial"/>
        </w:rPr>
        <w:t>Verification</w:t>
      </w:r>
      <w:r w:rsidRPr="00C9686D">
        <w:rPr>
          <w:rFonts w:ascii="Arial" w:hAnsi="Arial" w:cs="Arial"/>
        </w:rPr>
        <w:t xml:space="preserve">.  </w:t>
      </w:r>
    </w:p>
    <w:p w:rsidR="00583BC9" w:rsidRPr="00C9686D" w:rsidRDefault="00583BC9" w:rsidP="00C9686D">
      <w:pPr>
        <w:spacing w:line="360" w:lineRule="auto"/>
        <w:jc w:val="both"/>
        <w:rPr>
          <w:rFonts w:ascii="Arial" w:hAnsi="Arial" w:cs="Arial"/>
          <w:i/>
        </w:rPr>
      </w:pPr>
    </w:p>
    <w:p w:rsidR="00583BC9" w:rsidRPr="00C9686D" w:rsidRDefault="00583BC9" w:rsidP="00C9686D">
      <w:pPr>
        <w:spacing w:line="360" w:lineRule="auto"/>
        <w:jc w:val="both"/>
        <w:rPr>
          <w:rFonts w:ascii="Arial" w:hAnsi="Arial" w:cs="Arial"/>
          <w:u w:val="single"/>
        </w:rPr>
      </w:pPr>
      <w:r w:rsidRPr="00C9686D">
        <w:rPr>
          <w:rFonts w:ascii="Arial" w:hAnsi="Arial" w:cs="Arial"/>
          <w:u w:val="single"/>
        </w:rPr>
        <w:t>Purpose and Scope</w:t>
      </w:r>
    </w:p>
    <w:p w:rsidR="00BC3D04" w:rsidRPr="00C9686D" w:rsidRDefault="00BC3D04" w:rsidP="00C9686D">
      <w:pPr>
        <w:spacing w:line="360" w:lineRule="auto"/>
        <w:jc w:val="both"/>
        <w:rPr>
          <w:rFonts w:ascii="Arial" w:hAnsi="Arial" w:cs="Arial"/>
        </w:rPr>
      </w:pPr>
    </w:p>
    <w:p w:rsidR="00BC3D04" w:rsidRPr="00C9686D" w:rsidRDefault="00BC3D04" w:rsidP="00C9686D">
      <w:pPr>
        <w:spacing w:line="360" w:lineRule="auto"/>
        <w:jc w:val="both"/>
        <w:rPr>
          <w:rFonts w:ascii="Arial" w:hAnsi="Arial" w:cs="Arial"/>
        </w:rPr>
      </w:pPr>
      <w:r w:rsidRPr="00C9686D">
        <w:rPr>
          <w:rFonts w:ascii="Arial" w:hAnsi="Arial" w:cs="Arial"/>
        </w:rPr>
        <w:t xml:space="preserve">The purpose of the audit was to evaluate compliance with the FW/FW plan.  The scope of the audit covered activities that UCLA Health Procurement &amp; Strategic Sourcing </w:t>
      </w:r>
      <w:r w:rsidR="00DF1817" w:rsidRPr="00C9686D">
        <w:rPr>
          <w:rFonts w:ascii="Arial" w:hAnsi="Arial" w:cs="Arial"/>
        </w:rPr>
        <w:t xml:space="preserve">(Procurement) </w:t>
      </w:r>
      <w:r w:rsidRPr="00C9686D">
        <w:rPr>
          <w:rFonts w:ascii="Arial" w:hAnsi="Arial" w:cs="Arial"/>
        </w:rPr>
        <w:t>performs in order to monitor and assure vendor compliance with the requirements specified by the plan.</w:t>
      </w:r>
    </w:p>
    <w:p w:rsidR="00583BC9" w:rsidRPr="00C9686D" w:rsidRDefault="00583BC9" w:rsidP="00C9686D">
      <w:pPr>
        <w:spacing w:line="360" w:lineRule="auto"/>
        <w:jc w:val="both"/>
        <w:rPr>
          <w:rFonts w:ascii="Arial" w:hAnsi="Arial" w:cs="Arial"/>
        </w:rPr>
      </w:pPr>
    </w:p>
    <w:p w:rsidR="00583BC9" w:rsidRPr="00C9686D" w:rsidRDefault="00583BC9" w:rsidP="00C9686D">
      <w:pPr>
        <w:spacing w:line="360" w:lineRule="auto"/>
        <w:jc w:val="both"/>
        <w:rPr>
          <w:rFonts w:ascii="Arial" w:hAnsi="Arial" w:cs="Arial"/>
        </w:rPr>
      </w:pPr>
      <w:r w:rsidRPr="00C9686D">
        <w:rPr>
          <w:rFonts w:ascii="Arial" w:hAnsi="Arial" w:cs="Arial"/>
        </w:rPr>
        <w:t xml:space="preserve">The audit was conducted in conformance with the </w:t>
      </w:r>
      <w:r w:rsidRPr="00C9686D">
        <w:rPr>
          <w:rFonts w:ascii="Arial" w:hAnsi="Arial" w:cs="Arial"/>
          <w:i/>
        </w:rPr>
        <w:t>International Standards for the Professional Practice of Internal Auditing</w:t>
      </w:r>
      <w:r w:rsidRPr="00C9686D">
        <w:rPr>
          <w:rFonts w:ascii="Arial" w:hAnsi="Arial" w:cs="Arial"/>
        </w:rPr>
        <w:t xml:space="preserve"> and included procedures considered necessary in achieving the purpose.  Discussions were held with management, and a </w:t>
      </w:r>
      <w:r w:rsidR="004E36F9" w:rsidRPr="00C9686D">
        <w:rPr>
          <w:rFonts w:ascii="Arial" w:hAnsi="Arial" w:cs="Arial"/>
        </w:rPr>
        <w:t>limited number of</w:t>
      </w:r>
      <w:r w:rsidRPr="00C9686D">
        <w:rPr>
          <w:rFonts w:ascii="Arial" w:hAnsi="Arial" w:cs="Arial"/>
        </w:rPr>
        <w:t xml:space="preserve"> contracts was reviewed</w:t>
      </w:r>
      <w:r w:rsidRPr="00C9686D">
        <w:rPr>
          <w:rFonts w:ascii="Arial" w:hAnsi="Arial" w:cs="Arial"/>
          <w:i/>
        </w:rPr>
        <w:t>.</w:t>
      </w:r>
      <w:r w:rsidR="00C9686D" w:rsidRPr="00C9686D">
        <w:rPr>
          <w:rFonts w:ascii="Arial" w:hAnsi="Arial" w:cs="Arial"/>
        </w:rPr>
        <w:t xml:space="preserve">  </w:t>
      </w:r>
    </w:p>
    <w:p w:rsidR="00BC3D04" w:rsidRPr="00C9686D" w:rsidRDefault="00BC3D04" w:rsidP="00C9686D">
      <w:pPr>
        <w:spacing w:line="360" w:lineRule="auto"/>
        <w:jc w:val="both"/>
        <w:rPr>
          <w:rFonts w:ascii="Arial" w:hAnsi="Arial" w:cs="Arial"/>
        </w:rPr>
      </w:pPr>
    </w:p>
    <w:p w:rsidR="00583BC9" w:rsidRPr="00C9686D" w:rsidRDefault="00583BC9" w:rsidP="00C9686D">
      <w:pPr>
        <w:spacing w:line="360" w:lineRule="auto"/>
        <w:jc w:val="both"/>
        <w:rPr>
          <w:rFonts w:ascii="Arial" w:hAnsi="Arial" w:cs="Arial"/>
          <w:u w:val="single"/>
        </w:rPr>
      </w:pPr>
      <w:r w:rsidRPr="00C9686D">
        <w:rPr>
          <w:rFonts w:ascii="Arial" w:hAnsi="Arial" w:cs="Arial"/>
          <w:u w:val="single"/>
        </w:rPr>
        <w:t>Summary Opinion</w:t>
      </w:r>
    </w:p>
    <w:p w:rsidR="00F66F82" w:rsidRPr="00C9686D" w:rsidRDefault="00F66F82" w:rsidP="00C9686D">
      <w:pPr>
        <w:spacing w:line="360" w:lineRule="auto"/>
        <w:jc w:val="both"/>
        <w:rPr>
          <w:rFonts w:ascii="Arial" w:hAnsi="Arial" w:cs="Arial"/>
        </w:rPr>
      </w:pPr>
    </w:p>
    <w:p w:rsidR="00147F07" w:rsidRPr="00C9686D" w:rsidRDefault="00147F07" w:rsidP="00C9686D">
      <w:pPr>
        <w:spacing w:line="360" w:lineRule="auto"/>
        <w:jc w:val="both"/>
        <w:rPr>
          <w:rFonts w:ascii="Arial" w:hAnsi="Arial" w:cs="Arial"/>
        </w:rPr>
      </w:pPr>
      <w:r w:rsidRPr="00C9686D">
        <w:rPr>
          <w:rFonts w:ascii="Arial" w:hAnsi="Arial" w:cs="Arial"/>
        </w:rPr>
        <w:t xml:space="preserve">The Senior Director is cognizant that the FW/FW plan continues to be a high priority initiative of the University of California President and, therefore, requested funds from senior management for an individual to work on the FW/FW project.  A consultant was hired in September 2018 but was later dismissed in December 2018, as it was deemed that a full-time </w:t>
      </w:r>
      <w:r w:rsidRPr="00C9686D">
        <w:rPr>
          <w:rFonts w:ascii="Arial" w:hAnsi="Arial" w:cs="Arial"/>
        </w:rPr>
        <w:lastRenderedPageBreak/>
        <w:t xml:space="preserve">equivalent was better suited </w:t>
      </w:r>
      <w:r w:rsidR="00542637" w:rsidRPr="00C9686D">
        <w:rPr>
          <w:rFonts w:ascii="Arial" w:hAnsi="Arial" w:cs="Arial"/>
        </w:rPr>
        <w:t xml:space="preserve">to </w:t>
      </w:r>
      <w:r w:rsidRPr="00C9686D">
        <w:rPr>
          <w:rFonts w:ascii="Arial" w:hAnsi="Arial" w:cs="Arial"/>
        </w:rPr>
        <w:t xml:space="preserve">the purposes and goals for the FW/FW project.  A Contracts Administrator was hired in </w:t>
      </w:r>
      <w:r w:rsidR="00EF05CB" w:rsidRPr="00C9686D">
        <w:rPr>
          <w:rFonts w:ascii="Arial" w:hAnsi="Arial" w:cs="Arial"/>
        </w:rPr>
        <w:t>May 2019</w:t>
      </w:r>
      <w:r w:rsidRPr="00C9686D">
        <w:rPr>
          <w:rFonts w:ascii="Arial" w:hAnsi="Arial" w:cs="Arial"/>
        </w:rPr>
        <w:t xml:space="preserve">.  In addition, the responsibilities of the Service Buyer </w:t>
      </w:r>
      <w:r w:rsidR="00542637" w:rsidRPr="00C9686D">
        <w:rPr>
          <w:rFonts w:ascii="Arial" w:hAnsi="Arial" w:cs="Arial"/>
        </w:rPr>
        <w:t>were</w:t>
      </w:r>
      <w:r w:rsidRPr="00C9686D">
        <w:rPr>
          <w:rFonts w:ascii="Arial" w:hAnsi="Arial" w:cs="Arial"/>
        </w:rPr>
        <w:t xml:space="preserve"> changed to include and to focus on the FW/FW project.  </w:t>
      </w:r>
    </w:p>
    <w:p w:rsidR="00147F07" w:rsidRPr="00C9686D" w:rsidRDefault="00147F07" w:rsidP="00C9686D">
      <w:pPr>
        <w:spacing w:line="360" w:lineRule="auto"/>
        <w:jc w:val="both"/>
        <w:rPr>
          <w:rFonts w:ascii="Arial" w:hAnsi="Arial" w:cs="Arial"/>
        </w:rPr>
      </w:pPr>
    </w:p>
    <w:p w:rsidR="00147F07" w:rsidRPr="00C9686D" w:rsidRDefault="00147F07" w:rsidP="00C9686D">
      <w:pPr>
        <w:spacing w:line="360" w:lineRule="auto"/>
        <w:jc w:val="both"/>
        <w:rPr>
          <w:rFonts w:ascii="Arial" w:hAnsi="Arial" w:cs="Arial"/>
        </w:rPr>
      </w:pPr>
      <w:r w:rsidRPr="00C9686D">
        <w:rPr>
          <w:rFonts w:ascii="Arial" w:hAnsi="Arial" w:cs="Arial"/>
        </w:rPr>
        <w:t xml:space="preserve">Procurement implemented a process to identify and to monitor vendor contracts subject to the University's FW/FW requirements. </w:t>
      </w:r>
      <w:r w:rsidR="00C9686D" w:rsidRPr="00C9686D">
        <w:rPr>
          <w:rFonts w:ascii="Arial" w:hAnsi="Arial" w:cs="Arial"/>
        </w:rPr>
        <w:t xml:space="preserve"> Their efforts are ongoing to:</w:t>
      </w:r>
    </w:p>
    <w:p w:rsidR="00C9686D" w:rsidRPr="00C9686D" w:rsidRDefault="00C9686D" w:rsidP="00C9686D">
      <w:pPr>
        <w:spacing w:line="360" w:lineRule="auto"/>
        <w:jc w:val="both"/>
        <w:rPr>
          <w:rFonts w:ascii="Arial" w:hAnsi="Arial" w:cs="Arial"/>
        </w:rPr>
      </w:pPr>
    </w:p>
    <w:p w:rsidR="00147F07" w:rsidRPr="00C9686D" w:rsidRDefault="00147F07" w:rsidP="00C9686D">
      <w:pPr>
        <w:pStyle w:val="ListParagraph"/>
        <w:numPr>
          <w:ilvl w:val="0"/>
          <w:numId w:val="33"/>
        </w:numPr>
        <w:spacing w:line="360" w:lineRule="auto"/>
        <w:ind w:left="540" w:hanging="540"/>
        <w:contextualSpacing w:val="0"/>
        <w:jc w:val="both"/>
        <w:rPr>
          <w:rFonts w:ascii="Arial" w:hAnsi="Arial" w:cs="Arial"/>
        </w:rPr>
      </w:pPr>
      <w:r w:rsidRPr="00C9686D">
        <w:rPr>
          <w:rFonts w:ascii="Arial" w:hAnsi="Arial" w:cs="Arial"/>
        </w:rPr>
        <w:t>Identify and monitor all contracts subject to the FW/FW provision</w:t>
      </w:r>
    </w:p>
    <w:p w:rsidR="00147F07" w:rsidRPr="00C9686D" w:rsidRDefault="00147F07" w:rsidP="00C9686D">
      <w:pPr>
        <w:pStyle w:val="ListParagraph"/>
        <w:numPr>
          <w:ilvl w:val="0"/>
          <w:numId w:val="33"/>
        </w:numPr>
        <w:spacing w:line="360" w:lineRule="auto"/>
        <w:ind w:left="540" w:hanging="540"/>
        <w:contextualSpacing w:val="0"/>
        <w:jc w:val="both"/>
        <w:rPr>
          <w:rFonts w:ascii="Arial" w:hAnsi="Arial" w:cs="Arial"/>
        </w:rPr>
      </w:pPr>
      <w:r w:rsidRPr="00C9686D">
        <w:rPr>
          <w:rFonts w:ascii="Arial" w:hAnsi="Arial" w:cs="Arial"/>
        </w:rPr>
        <w:t xml:space="preserve">Solicit </w:t>
      </w:r>
      <w:r w:rsidR="00542637" w:rsidRPr="00C9686D">
        <w:rPr>
          <w:rFonts w:ascii="Arial" w:hAnsi="Arial" w:cs="Arial"/>
        </w:rPr>
        <w:t xml:space="preserve">all covered </w:t>
      </w:r>
      <w:r w:rsidRPr="00C9686D">
        <w:rPr>
          <w:rFonts w:ascii="Arial" w:hAnsi="Arial" w:cs="Arial"/>
        </w:rPr>
        <w:t>vendors to execute the FW/FW Amendment to Agreement</w:t>
      </w:r>
    </w:p>
    <w:p w:rsidR="00147F07" w:rsidRPr="00C9686D" w:rsidRDefault="00147F07" w:rsidP="00C9686D">
      <w:pPr>
        <w:pStyle w:val="ListParagraph"/>
        <w:numPr>
          <w:ilvl w:val="0"/>
          <w:numId w:val="33"/>
        </w:numPr>
        <w:spacing w:line="360" w:lineRule="auto"/>
        <w:ind w:left="540" w:hanging="540"/>
        <w:contextualSpacing w:val="0"/>
        <w:jc w:val="both"/>
        <w:rPr>
          <w:rFonts w:ascii="Arial" w:hAnsi="Arial" w:cs="Arial"/>
        </w:rPr>
      </w:pPr>
      <w:r w:rsidRPr="00C9686D">
        <w:rPr>
          <w:rFonts w:ascii="Arial" w:hAnsi="Arial" w:cs="Arial"/>
        </w:rPr>
        <w:t xml:space="preserve">Solicit the annual verification forms from vendors </w:t>
      </w:r>
      <w:r w:rsidR="00542637" w:rsidRPr="00C9686D">
        <w:rPr>
          <w:rFonts w:ascii="Arial" w:hAnsi="Arial" w:cs="Arial"/>
        </w:rPr>
        <w:t xml:space="preserve">for which </w:t>
      </w:r>
      <w:r w:rsidR="00542928" w:rsidRPr="00C9686D">
        <w:rPr>
          <w:rFonts w:ascii="Arial" w:hAnsi="Arial" w:cs="Arial"/>
        </w:rPr>
        <w:t xml:space="preserve">procured </w:t>
      </w:r>
      <w:r w:rsidR="00542637" w:rsidRPr="00C9686D">
        <w:rPr>
          <w:rFonts w:ascii="Arial" w:hAnsi="Arial" w:cs="Arial"/>
        </w:rPr>
        <w:t xml:space="preserve">services exceed $100,000, </w:t>
      </w:r>
      <w:r w:rsidRPr="00C9686D">
        <w:rPr>
          <w:rFonts w:ascii="Arial" w:hAnsi="Arial" w:cs="Arial"/>
        </w:rPr>
        <w:t xml:space="preserve">attesting to </w:t>
      </w:r>
      <w:r w:rsidR="00542637" w:rsidRPr="00C9686D">
        <w:rPr>
          <w:rFonts w:ascii="Arial" w:hAnsi="Arial" w:cs="Arial"/>
        </w:rPr>
        <w:t xml:space="preserve">their </w:t>
      </w:r>
      <w:r w:rsidRPr="00C9686D">
        <w:rPr>
          <w:rFonts w:ascii="Arial" w:hAnsi="Arial" w:cs="Arial"/>
        </w:rPr>
        <w:t>compliance with the annual FW/FW audit procedures</w:t>
      </w:r>
    </w:p>
    <w:p w:rsidR="00147F07" w:rsidRPr="00C9686D" w:rsidRDefault="00147F07" w:rsidP="00C9686D">
      <w:pPr>
        <w:pStyle w:val="ListParagraph"/>
        <w:numPr>
          <w:ilvl w:val="0"/>
          <w:numId w:val="33"/>
        </w:numPr>
        <w:spacing w:line="360" w:lineRule="auto"/>
        <w:ind w:left="540" w:hanging="540"/>
        <w:contextualSpacing w:val="0"/>
        <w:jc w:val="both"/>
        <w:rPr>
          <w:rFonts w:ascii="Arial" w:hAnsi="Arial" w:cs="Arial"/>
        </w:rPr>
      </w:pPr>
      <w:r w:rsidRPr="00C9686D">
        <w:rPr>
          <w:rFonts w:ascii="Arial" w:hAnsi="Arial" w:cs="Arial"/>
        </w:rPr>
        <w:t>Assure proper justification and approvals for any vendor exempted from the FW/FW provisions</w:t>
      </w:r>
    </w:p>
    <w:p w:rsidR="00F66F82" w:rsidRPr="00C9686D" w:rsidRDefault="00F66F82" w:rsidP="00C9686D">
      <w:pPr>
        <w:spacing w:line="360" w:lineRule="auto"/>
        <w:jc w:val="both"/>
        <w:rPr>
          <w:rFonts w:ascii="Arial" w:hAnsi="Arial" w:cs="Arial"/>
        </w:rPr>
      </w:pPr>
    </w:p>
    <w:p w:rsidR="00583BC9" w:rsidRPr="00583BC9" w:rsidRDefault="00583BC9" w:rsidP="00C9686D">
      <w:pPr>
        <w:spacing w:line="360" w:lineRule="auto"/>
        <w:jc w:val="both"/>
        <w:rPr>
          <w:rFonts w:ascii="Arial" w:hAnsi="Arial" w:cs="Arial"/>
        </w:rPr>
      </w:pPr>
      <w:r w:rsidRPr="00C9686D">
        <w:rPr>
          <w:rFonts w:ascii="Arial" w:hAnsi="Arial" w:cs="Arial"/>
        </w:rPr>
        <w:t>The audit results and recommendations are detailed in the remainder of this audit report.</w:t>
      </w:r>
      <w:r w:rsidRPr="00583BC9">
        <w:rPr>
          <w:rFonts w:ascii="Arial" w:hAnsi="Arial" w:cs="Arial"/>
        </w:rPr>
        <w:t xml:space="preserve">    </w:t>
      </w:r>
    </w:p>
    <w:p w:rsidR="00583BC9" w:rsidRPr="002E0AC9" w:rsidRDefault="00583BC9" w:rsidP="00C9686D">
      <w:pPr>
        <w:spacing w:line="360" w:lineRule="auto"/>
        <w:ind w:left="-900"/>
        <w:jc w:val="both"/>
        <w:rPr>
          <w:rFonts w:ascii="Arial" w:hAnsi="Arial" w:cs="Arial"/>
        </w:rPr>
      </w:pPr>
      <w:r w:rsidRPr="00583BC9">
        <w:rPr>
          <w:rFonts w:ascii="Arial" w:hAnsi="Arial" w:cs="Arial"/>
          <w:i/>
          <w:u w:val="single"/>
        </w:rPr>
        <w:br w:type="page"/>
      </w:r>
      <w:r w:rsidRPr="00583BC9">
        <w:rPr>
          <w:rFonts w:ascii="Arial" w:hAnsi="Arial" w:cs="Arial"/>
          <w:u w:val="single"/>
        </w:rPr>
        <w:lastRenderedPageBreak/>
        <w:t>Audit Results and Recommendations</w:t>
      </w:r>
    </w:p>
    <w:tbl>
      <w:tblPr>
        <w:tblStyle w:val="TableGrid"/>
        <w:tblW w:w="14724" w:type="dxa"/>
        <w:jc w:val="center"/>
        <w:tblLayout w:type="fixed"/>
        <w:tblLook w:val="01E0" w:firstRow="1" w:lastRow="1" w:firstColumn="1" w:lastColumn="1" w:noHBand="0" w:noVBand="0"/>
      </w:tblPr>
      <w:tblGrid>
        <w:gridCol w:w="467"/>
        <w:gridCol w:w="4752"/>
        <w:gridCol w:w="4752"/>
        <w:gridCol w:w="4753"/>
      </w:tblGrid>
      <w:tr w:rsidR="002E0AC9" w:rsidRPr="00D46068" w:rsidTr="000E2E2F">
        <w:trPr>
          <w:trHeight w:val="720"/>
          <w:tblHeader/>
          <w:jc w:val="center"/>
        </w:trPr>
        <w:tc>
          <w:tcPr>
            <w:tcW w:w="467" w:type="dxa"/>
            <w:tcBorders>
              <w:bottom w:val="single" w:sz="4" w:space="0" w:color="auto"/>
            </w:tcBorders>
            <w:shd w:val="clear" w:color="auto" w:fill="99CCFF"/>
            <w:vAlign w:val="center"/>
          </w:tcPr>
          <w:p w:rsidR="002E0AC9" w:rsidRPr="001042D8" w:rsidRDefault="002E0AC9" w:rsidP="000E2E2F">
            <w:pPr>
              <w:jc w:val="center"/>
              <w:rPr>
                <w:rFonts w:ascii="Arial" w:hAnsi="Arial" w:cs="Arial"/>
                <w:b/>
                <w:sz w:val="22"/>
                <w:szCs w:val="22"/>
              </w:rPr>
            </w:pPr>
            <w:r w:rsidRPr="001042D8">
              <w:rPr>
                <w:rFonts w:ascii="Arial" w:hAnsi="Arial" w:cs="Arial"/>
                <w:b/>
                <w:sz w:val="22"/>
                <w:szCs w:val="22"/>
              </w:rPr>
              <w:t>#</w:t>
            </w:r>
          </w:p>
        </w:tc>
        <w:tc>
          <w:tcPr>
            <w:tcW w:w="4752" w:type="dxa"/>
            <w:tcBorders>
              <w:bottom w:val="single" w:sz="4" w:space="0" w:color="auto"/>
            </w:tcBorders>
            <w:shd w:val="clear" w:color="auto" w:fill="99CCFF"/>
            <w:vAlign w:val="center"/>
          </w:tcPr>
          <w:p w:rsidR="002E0AC9" w:rsidRPr="001042D8" w:rsidRDefault="002E0AC9" w:rsidP="002E0AC9">
            <w:pPr>
              <w:jc w:val="center"/>
              <w:rPr>
                <w:rFonts w:ascii="Arial" w:hAnsi="Arial" w:cs="Arial"/>
                <w:b/>
                <w:sz w:val="22"/>
                <w:szCs w:val="22"/>
              </w:rPr>
            </w:pPr>
            <w:r w:rsidRPr="001042D8">
              <w:rPr>
                <w:rFonts w:ascii="Arial" w:hAnsi="Arial" w:cs="Arial"/>
                <w:b/>
                <w:sz w:val="22"/>
                <w:szCs w:val="22"/>
              </w:rPr>
              <w:t>FINDING</w:t>
            </w:r>
            <w:r w:rsidR="001140F4">
              <w:rPr>
                <w:rFonts w:ascii="Arial" w:hAnsi="Arial" w:cs="Arial"/>
                <w:b/>
                <w:sz w:val="22"/>
                <w:szCs w:val="22"/>
              </w:rPr>
              <w:t xml:space="preserve"> and CRITERIA</w:t>
            </w:r>
          </w:p>
        </w:tc>
        <w:tc>
          <w:tcPr>
            <w:tcW w:w="4752" w:type="dxa"/>
            <w:tcBorders>
              <w:bottom w:val="single" w:sz="4" w:space="0" w:color="auto"/>
            </w:tcBorders>
            <w:shd w:val="clear" w:color="auto" w:fill="99CCFF"/>
            <w:vAlign w:val="center"/>
          </w:tcPr>
          <w:p w:rsidR="002E0AC9" w:rsidRPr="001042D8" w:rsidRDefault="002E0AC9" w:rsidP="000E2E2F">
            <w:pPr>
              <w:jc w:val="center"/>
              <w:rPr>
                <w:rFonts w:ascii="Arial" w:hAnsi="Arial" w:cs="Arial"/>
                <w:b/>
                <w:sz w:val="22"/>
                <w:szCs w:val="22"/>
              </w:rPr>
            </w:pPr>
            <w:r w:rsidRPr="001042D8">
              <w:rPr>
                <w:rFonts w:ascii="Arial" w:hAnsi="Arial" w:cs="Arial"/>
                <w:b/>
                <w:sz w:val="22"/>
                <w:szCs w:val="22"/>
              </w:rPr>
              <w:t>RECOMMENDATION</w:t>
            </w:r>
          </w:p>
        </w:tc>
        <w:tc>
          <w:tcPr>
            <w:tcW w:w="4753" w:type="dxa"/>
            <w:tcBorders>
              <w:bottom w:val="single" w:sz="4" w:space="0" w:color="auto"/>
            </w:tcBorders>
            <w:shd w:val="clear" w:color="auto" w:fill="99CCFF"/>
            <w:vAlign w:val="center"/>
          </w:tcPr>
          <w:p w:rsidR="002E0AC9" w:rsidRPr="001042D8" w:rsidRDefault="002E0AC9" w:rsidP="000E2E2F">
            <w:pPr>
              <w:jc w:val="center"/>
              <w:rPr>
                <w:rFonts w:ascii="Arial" w:hAnsi="Arial" w:cs="Arial"/>
                <w:b/>
                <w:sz w:val="22"/>
                <w:szCs w:val="22"/>
              </w:rPr>
            </w:pPr>
            <w:r w:rsidRPr="001042D8">
              <w:rPr>
                <w:rFonts w:ascii="Arial" w:hAnsi="Arial" w:cs="Arial"/>
                <w:b/>
                <w:sz w:val="22"/>
                <w:szCs w:val="22"/>
              </w:rPr>
              <w:t>MANAGEMENT’S RESPONSE</w:t>
            </w:r>
          </w:p>
        </w:tc>
      </w:tr>
      <w:tr w:rsidR="002E0AC9" w:rsidRPr="00D46068" w:rsidTr="000E2E2F">
        <w:trPr>
          <w:jc w:val="center"/>
        </w:trPr>
        <w:tc>
          <w:tcPr>
            <w:tcW w:w="467" w:type="dxa"/>
          </w:tcPr>
          <w:p w:rsidR="002E0AC9" w:rsidRPr="00FE78FC" w:rsidRDefault="002E0AC9" w:rsidP="000E2E2F">
            <w:pPr>
              <w:jc w:val="center"/>
              <w:rPr>
                <w:rFonts w:ascii="Arial" w:hAnsi="Arial" w:cs="Arial"/>
                <w:sz w:val="20"/>
                <w:szCs w:val="20"/>
              </w:rPr>
            </w:pPr>
            <w:r>
              <w:rPr>
                <w:rFonts w:ascii="Arial" w:hAnsi="Arial" w:cs="Arial"/>
                <w:sz w:val="20"/>
                <w:szCs w:val="20"/>
              </w:rPr>
              <w:t>1</w:t>
            </w:r>
          </w:p>
        </w:tc>
        <w:tc>
          <w:tcPr>
            <w:tcW w:w="4752" w:type="dxa"/>
            <w:shd w:val="clear" w:color="auto" w:fill="auto"/>
          </w:tcPr>
          <w:p w:rsidR="002E0AC9" w:rsidRPr="001140F4" w:rsidRDefault="001140F4" w:rsidP="000E2E2F">
            <w:pPr>
              <w:rPr>
                <w:rFonts w:ascii="Arial" w:hAnsi="Arial" w:cs="Arial"/>
                <w:sz w:val="20"/>
                <w:szCs w:val="20"/>
                <w:u w:val="single"/>
              </w:rPr>
            </w:pPr>
            <w:r>
              <w:rPr>
                <w:rFonts w:ascii="Arial" w:hAnsi="Arial" w:cs="Arial"/>
                <w:sz w:val="20"/>
                <w:szCs w:val="20"/>
                <w:u w:val="single"/>
              </w:rPr>
              <w:t xml:space="preserve">Contract </w:t>
            </w:r>
            <w:r w:rsidR="00F66F82">
              <w:rPr>
                <w:rFonts w:ascii="Arial" w:hAnsi="Arial" w:cs="Arial"/>
                <w:sz w:val="20"/>
                <w:szCs w:val="20"/>
                <w:u w:val="single"/>
              </w:rPr>
              <w:t>Population</w:t>
            </w:r>
            <w:r w:rsidR="00C01523">
              <w:rPr>
                <w:rFonts w:ascii="Arial" w:hAnsi="Arial" w:cs="Arial"/>
                <w:sz w:val="20"/>
                <w:szCs w:val="20"/>
                <w:u w:val="single"/>
              </w:rPr>
              <w:t xml:space="preserve"> for Monitoring</w:t>
            </w:r>
          </w:p>
          <w:p w:rsidR="001140F4" w:rsidRDefault="001140F4" w:rsidP="000E2E2F">
            <w:pPr>
              <w:rPr>
                <w:rFonts w:ascii="Arial" w:hAnsi="Arial" w:cs="Arial"/>
                <w:sz w:val="20"/>
                <w:szCs w:val="20"/>
              </w:rPr>
            </w:pPr>
          </w:p>
          <w:p w:rsidR="001140F4" w:rsidRPr="001140F4" w:rsidRDefault="001140F4" w:rsidP="001140F4">
            <w:pPr>
              <w:rPr>
                <w:rFonts w:ascii="Arial" w:hAnsi="Arial" w:cs="Arial"/>
                <w:sz w:val="20"/>
                <w:szCs w:val="20"/>
              </w:rPr>
            </w:pPr>
            <w:r w:rsidRPr="001140F4">
              <w:rPr>
                <w:rFonts w:ascii="Arial" w:hAnsi="Arial" w:cs="Arial"/>
                <w:sz w:val="20"/>
                <w:szCs w:val="20"/>
              </w:rPr>
              <w:t xml:space="preserve">Procurement </w:t>
            </w:r>
            <w:r w:rsidR="00785BC5">
              <w:rPr>
                <w:rFonts w:ascii="Arial" w:hAnsi="Arial" w:cs="Arial"/>
                <w:sz w:val="20"/>
                <w:szCs w:val="20"/>
              </w:rPr>
              <w:t>implemented</w:t>
            </w:r>
            <w:r w:rsidRPr="001140F4">
              <w:rPr>
                <w:rFonts w:ascii="Arial" w:hAnsi="Arial" w:cs="Arial"/>
                <w:sz w:val="20"/>
                <w:szCs w:val="20"/>
              </w:rPr>
              <w:t xml:space="preserve"> a process</w:t>
            </w:r>
            <w:r w:rsidR="004601DB">
              <w:rPr>
                <w:rFonts w:ascii="Arial" w:hAnsi="Arial" w:cs="Arial"/>
                <w:sz w:val="20"/>
                <w:szCs w:val="20"/>
              </w:rPr>
              <w:t xml:space="preserve"> </w:t>
            </w:r>
            <w:r w:rsidR="00542637">
              <w:rPr>
                <w:rFonts w:ascii="Arial" w:hAnsi="Arial" w:cs="Arial"/>
                <w:sz w:val="20"/>
                <w:szCs w:val="20"/>
              </w:rPr>
              <w:t xml:space="preserve">this </w:t>
            </w:r>
            <w:r w:rsidR="004601DB">
              <w:rPr>
                <w:rFonts w:ascii="Arial" w:hAnsi="Arial" w:cs="Arial"/>
                <w:sz w:val="20"/>
                <w:szCs w:val="20"/>
              </w:rPr>
              <w:t>year</w:t>
            </w:r>
            <w:r w:rsidRPr="001140F4">
              <w:rPr>
                <w:rFonts w:ascii="Arial" w:hAnsi="Arial" w:cs="Arial"/>
                <w:sz w:val="20"/>
                <w:szCs w:val="20"/>
              </w:rPr>
              <w:t xml:space="preserve"> to identify and </w:t>
            </w:r>
            <w:r w:rsidR="00785BC5">
              <w:rPr>
                <w:rFonts w:ascii="Arial" w:hAnsi="Arial" w:cs="Arial"/>
                <w:sz w:val="20"/>
                <w:szCs w:val="20"/>
              </w:rPr>
              <w:t xml:space="preserve">to </w:t>
            </w:r>
            <w:r w:rsidRPr="001140F4">
              <w:rPr>
                <w:rFonts w:ascii="Arial" w:hAnsi="Arial" w:cs="Arial"/>
                <w:sz w:val="20"/>
                <w:szCs w:val="20"/>
              </w:rPr>
              <w:t xml:space="preserve">monitor contracts subject to the University's FW/FW requirements.  The process identified most, but not all, </w:t>
            </w:r>
            <w:r w:rsidR="00C01D9B">
              <w:rPr>
                <w:rFonts w:ascii="Arial" w:hAnsi="Arial" w:cs="Arial"/>
                <w:sz w:val="20"/>
                <w:szCs w:val="20"/>
              </w:rPr>
              <w:t xml:space="preserve">of </w:t>
            </w:r>
            <w:r w:rsidRPr="001140F4">
              <w:rPr>
                <w:rFonts w:ascii="Arial" w:hAnsi="Arial" w:cs="Arial"/>
                <w:sz w:val="20"/>
                <w:szCs w:val="20"/>
              </w:rPr>
              <w:t>the contracts that would be su</w:t>
            </w:r>
            <w:r>
              <w:rPr>
                <w:rFonts w:ascii="Arial" w:hAnsi="Arial" w:cs="Arial"/>
                <w:sz w:val="20"/>
                <w:szCs w:val="20"/>
              </w:rPr>
              <w:t xml:space="preserve">bject to the University's FW/FW </w:t>
            </w:r>
            <w:r w:rsidRPr="001140F4">
              <w:rPr>
                <w:rFonts w:ascii="Arial" w:hAnsi="Arial" w:cs="Arial"/>
                <w:sz w:val="20"/>
                <w:szCs w:val="20"/>
              </w:rPr>
              <w:t xml:space="preserve">requirements.  Seven natural class codes were used to identify the contracts from the raw data extracted from Infor Lawson, </w:t>
            </w:r>
            <w:r w:rsidR="004601DB">
              <w:rPr>
                <w:rFonts w:ascii="Arial" w:hAnsi="Arial" w:cs="Arial"/>
                <w:sz w:val="20"/>
                <w:szCs w:val="20"/>
              </w:rPr>
              <w:t xml:space="preserve">UCLA Health’s </w:t>
            </w:r>
            <w:r w:rsidRPr="001140F4">
              <w:rPr>
                <w:rFonts w:ascii="Arial" w:hAnsi="Arial" w:cs="Arial"/>
                <w:sz w:val="20"/>
                <w:szCs w:val="20"/>
              </w:rPr>
              <w:t xml:space="preserve">procurement system.  </w:t>
            </w:r>
            <w:r w:rsidR="00806D9E">
              <w:rPr>
                <w:rFonts w:ascii="Arial" w:hAnsi="Arial" w:cs="Arial"/>
                <w:sz w:val="20"/>
                <w:szCs w:val="20"/>
              </w:rPr>
              <w:t xml:space="preserve">The </w:t>
            </w:r>
            <w:r w:rsidR="00A83160">
              <w:rPr>
                <w:rFonts w:ascii="Arial" w:hAnsi="Arial" w:cs="Arial"/>
                <w:sz w:val="20"/>
                <w:szCs w:val="20"/>
              </w:rPr>
              <w:t>auditor’s</w:t>
            </w:r>
            <w:r w:rsidR="00806D9E">
              <w:rPr>
                <w:rFonts w:ascii="Arial" w:hAnsi="Arial" w:cs="Arial"/>
                <w:sz w:val="20"/>
                <w:szCs w:val="20"/>
              </w:rPr>
              <w:t xml:space="preserve"> </w:t>
            </w:r>
            <w:r w:rsidRPr="001140F4">
              <w:rPr>
                <w:rFonts w:ascii="Arial" w:hAnsi="Arial" w:cs="Arial"/>
                <w:sz w:val="20"/>
                <w:szCs w:val="20"/>
              </w:rPr>
              <w:t xml:space="preserve">review of the raw data showed that other natural class codes were </w:t>
            </w:r>
            <w:r w:rsidR="00806D9E">
              <w:rPr>
                <w:rFonts w:ascii="Arial" w:hAnsi="Arial" w:cs="Arial"/>
                <w:sz w:val="20"/>
                <w:szCs w:val="20"/>
              </w:rPr>
              <w:t xml:space="preserve">also </w:t>
            </w:r>
            <w:r w:rsidRPr="001140F4">
              <w:rPr>
                <w:rFonts w:ascii="Arial" w:hAnsi="Arial" w:cs="Arial"/>
                <w:sz w:val="20"/>
                <w:szCs w:val="20"/>
              </w:rPr>
              <w:t xml:space="preserve">used for service contracts.  </w:t>
            </w:r>
          </w:p>
          <w:p w:rsidR="001140F4" w:rsidRPr="001140F4" w:rsidRDefault="001140F4" w:rsidP="001140F4">
            <w:pPr>
              <w:rPr>
                <w:rFonts w:ascii="Arial" w:hAnsi="Arial" w:cs="Arial"/>
                <w:sz w:val="20"/>
                <w:szCs w:val="20"/>
              </w:rPr>
            </w:pPr>
          </w:p>
          <w:p w:rsidR="001140F4" w:rsidRDefault="001140F4" w:rsidP="001140F4">
            <w:pPr>
              <w:rPr>
                <w:rFonts w:ascii="Arial" w:hAnsi="Arial" w:cs="Arial"/>
                <w:sz w:val="20"/>
                <w:szCs w:val="20"/>
              </w:rPr>
            </w:pPr>
            <w:r w:rsidRPr="001140F4">
              <w:rPr>
                <w:rFonts w:ascii="Arial" w:hAnsi="Arial" w:cs="Arial"/>
                <w:sz w:val="20"/>
                <w:szCs w:val="20"/>
              </w:rPr>
              <w:t>As of June 26, 2019, Procurement has identified 201 contracts that are subject to the University's FW/FW requirements.</w:t>
            </w:r>
            <w:r>
              <w:rPr>
                <w:rFonts w:ascii="Arial" w:hAnsi="Arial" w:cs="Arial"/>
                <w:sz w:val="20"/>
                <w:szCs w:val="20"/>
              </w:rPr>
              <w:t xml:space="preserve">  </w:t>
            </w:r>
          </w:p>
          <w:p w:rsidR="00C9686D" w:rsidRDefault="00C9686D" w:rsidP="003B3F76">
            <w:pPr>
              <w:rPr>
                <w:rFonts w:ascii="Arial" w:hAnsi="Arial" w:cs="Arial"/>
                <w:sz w:val="20"/>
                <w:szCs w:val="20"/>
              </w:rPr>
            </w:pPr>
          </w:p>
          <w:p w:rsidR="003B3F76" w:rsidRPr="006F12C5" w:rsidRDefault="003B3F76" w:rsidP="003B3F76">
            <w:pPr>
              <w:rPr>
                <w:rFonts w:ascii="Arial" w:hAnsi="Arial" w:cs="Arial"/>
                <w:sz w:val="20"/>
                <w:szCs w:val="20"/>
              </w:rPr>
            </w:pPr>
            <w:r w:rsidRPr="006F12C5">
              <w:rPr>
                <w:rFonts w:ascii="Arial" w:hAnsi="Arial" w:cs="Arial"/>
                <w:sz w:val="20"/>
                <w:szCs w:val="20"/>
              </w:rPr>
              <w:t>___________________</w:t>
            </w:r>
          </w:p>
          <w:p w:rsidR="003B3F76" w:rsidRPr="006F12C5" w:rsidRDefault="003B3F76" w:rsidP="003B3F76">
            <w:pPr>
              <w:rPr>
                <w:rFonts w:ascii="Arial" w:hAnsi="Arial" w:cs="Arial"/>
                <w:sz w:val="16"/>
                <w:szCs w:val="16"/>
              </w:rPr>
            </w:pPr>
            <w:r w:rsidRPr="006F12C5">
              <w:rPr>
                <w:rFonts w:ascii="Arial" w:hAnsi="Arial" w:cs="Arial"/>
                <w:b/>
                <w:sz w:val="16"/>
                <w:szCs w:val="16"/>
              </w:rPr>
              <w:t>Criteria:</w:t>
            </w:r>
            <w:r w:rsidRPr="006F12C5">
              <w:rPr>
                <w:rFonts w:ascii="Arial" w:hAnsi="Arial" w:cs="Arial"/>
                <w:sz w:val="16"/>
                <w:szCs w:val="16"/>
              </w:rPr>
              <w:t xml:space="preserve">  </w:t>
            </w:r>
          </w:p>
          <w:p w:rsidR="003B3F76" w:rsidRDefault="003B3F76" w:rsidP="000E2E2F">
            <w:pPr>
              <w:rPr>
                <w:rFonts w:ascii="Arial" w:hAnsi="Arial" w:cs="Arial"/>
                <w:sz w:val="20"/>
                <w:szCs w:val="20"/>
              </w:rPr>
            </w:pPr>
            <w:r w:rsidRPr="004601DB">
              <w:rPr>
                <w:rFonts w:ascii="Arial" w:hAnsi="Arial" w:cs="Arial"/>
                <w:sz w:val="16"/>
                <w:szCs w:val="16"/>
              </w:rPr>
              <w:t>UC Business and Finance Bulletin BUS-43, Purchases of Goods and Services; Supply Chain Management</w:t>
            </w:r>
            <w:r w:rsidR="004E36C5">
              <w:rPr>
                <w:rFonts w:ascii="Arial" w:hAnsi="Arial" w:cs="Arial"/>
                <w:sz w:val="16"/>
                <w:szCs w:val="16"/>
              </w:rPr>
              <w:t xml:space="preserve"> (BUS-43)</w:t>
            </w:r>
            <w:r w:rsidRPr="004601DB">
              <w:rPr>
                <w:rFonts w:ascii="Arial" w:hAnsi="Arial" w:cs="Arial"/>
                <w:sz w:val="16"/>
                <w:szCs w:val="16"/>
              </w:rPr>
              <w:t xml:space="preserve">, III, Part 1, E.1.d.i. [Fair Wage/Fair Work] </w:t>
            </w:r>
            <w:r w:rsidRPr="003B3F76">
              <w:rPr>
                <w:rFonts w:ascii="Arial" w:hAnsi="Arial" w:cs="Arial"/>
                <w:sz w:val="16"/>
                <w:szCs w:val="16"/>
              </w:rPr>
              <w:t xml:space="preserve">General Requirements: </w:t>
            </w:r>
            <w:r>
              <w:rPr>
                <w:rFonts w:ascii="Arial" w:hAnsi="Arial" w:cs="Arial"/>
                <w:sz w:val="16"/>
                <w:szCs w:val="16"/>
              </w:rPr>
              <w:t xml:space="preserve"> U</w:t>
            </w:r>
            <w:r w:rsidRPr="003B3F76">
              <w:rPr>
                <w:rFonts w:ascii="Arial" w:hAnsi="Arial" w:cs="Arial"/>
                <w:sz w:val="16"/>
                <w:szCs w:val="16"/>
              </w:rPr>
              <w:t>niversity of California requires that Suppliers of</w:t>
            </w:r>
            <w:r>
              <w:rPr>
                <w:rFonts w:ascii="Arial" w:hAnsi="Arial" w:cs="Arial"/>
                <w:sz w:val="16"/>
                <w:szCs w:val="16"/>
              </w:rPr>
              <w:t xml:space="preserve"> </w:t>
            </w:r>
            <w:r w:rsidRPr="003B3F76">
              <w:rPr>
                <w:rFonts w:ascii="Arial" w:hAnsi="Arial" w:cs="Arial"/>
                <w:sz w:val="16"/>
                <w:szCs w:val="16"/>
              </w:rPr>
              <w:t>Fair Wage/Fair Work Services, including Suppliers of Public Works, pay</w:t>
            </w:r>
            <w:r>
              <w:rPr>
                <w:rFonts w:ascii="Arial" w:hAnsi="Arial" w:cs="Arial"/>
                <w:sz w:val="16"/>
                <w:szCs w:val="16"/>
              </w:rPr>
              <w:t xml:space="preserve"> </w:t>
            </w:r>
            <w:r w:rsidRPr="003B3F76">
              <w:rPr>
                <w:rFonts w:ascii="Arial" w:hAnsi="Arial" w:cs="Arial"/>
                <w:sz w:val="16"/>
                <w:szCs w:val="16"/>
              </w:rPr>
              <w:t>their employees performing the Services no less than the UC Fair</w:t>
            </w:r>
            <w:r>
              <w:rPr>
                <w:rFonts w:ascii="Arial" w:hAnsi="Arial" w:cs="Arial"/>
                <w:sz w:val="16"/>
                <w:szCs w:val="16"/>
              </w:rPr>
              <w:t xml:space="preserve"> </w:t>
            </w:r>
            <w:r w:rsidRPr="003B3F76">
              <w:rPr>
                <w:rFonts w:ascii="Arial" w:hAnsi="Arial" w:cs="Arial"/>
                <w:sz w:val="16"/>
                <w:szCs w:val="16"/>
              </w:rPr>
              <w:t>Wage.</w:t>
            </w:r>
            <w:r>
              <w:rPr>
                <w:rFonts w:ascii="Arial" w:hAnsi="Arial" w:cs="Arial"/>
                <w:sz w:val="16"/>
                <w:szCs w:val="16"/>
              </w:rPr>
              <w:t xml:space="preserve">  </w:t>
            </w:r>
          </w:p>
          <w:p w:rsidR="003B3F76" w:rsidRPr="006F12C5" w:rsidRDefault="003B3F76" w:rsidP="000E2E2F">
            <w:pPr>
              <w:rPr>
                <w:rFonts w:ascii="Arial" w:hAnsi="Arial" w:cs="Arial"/>
                <w:sz w:val="20"/>
                <w:szCs w:val="20"/>
              </w:rPr>
            </w:pPr>
          </w:p>
        </w:tc>
        <w:tc>
          <w:tcPr>
            <w:tcW w:w="4752" w:type="dxa"/>
            <w:shd w:val="clear" w:color="auto" w:fill="auto"/>
          </w:tcPr>
          <w:p w:rsidR="002E0AC9" w:rsidRDefault="002E0AC9" w:rsidP="000E2E2F">
            <w:pPr>
              <w:rPr>
                <w:rFonts w:ascii="Arial" w:hAnsi="Arial" w:cs="Arial"/>
                <w:sz w:val="20"/>
                <w:szCs w:val="20"/>
              </w:rPr>
            </w:pPr>
          </w:p>
          <w:p w:rsidR="004601DB" w:rsidRDefault="004601DB" w:rsidP="000E2E2F">
            <w:pPr>
              <w:rPr>
                <w:rFonts w:ascii="Arial" w:hAnsi="Arial" w:cs="Arial"/>
                <w:sz w:val="20"/>
                <w:szCs w:val="20"/>
              </w:rPr>
            </w:pPr>
          </w:p>
          <w:p w:rsidR="004601DB" w:rsidRPr="006F12C5" w:rsidRDefault="006B586B" w:rsidP="00F66F82">
            <w:pPr>
              <w:rPr>
                <w:rFonts w:ascii="Arial" w:hAnsi="Arial" w:cs="Arial"/>
                <w:sz w:val="20"/>
                <w:szCs w:val="20"/>
              </w:rPr>
            </w:pPr>
            <w:r>
              <w:rPr>
                <w:rFonts w:ascii="Arial" w:hAnsi="Arial" w:cs="Arial"/>
                <w:sz w:val="20"/>
                <w:szCs w:val="20"/>
              </w:rPr>
              <w:t>A&amp;AS informed t</w:t>
            </w:r>
            <w:r w:rsidR="004601DB">
              <w:rPr>
                <w:rFonts w:ascii="Arial" w:hAnsi="Arial" w:cs="Arial"/>
                <w:sz w:val="20"/>
                <w:szCs w:val="20"/>
              </w:rPr>
              <w:t>he Director of this concern during the audit</w:t>
            </w:r>
            <w:r>
              <w:rPr>
                <w:rFonts w:ascii="Arial" w:hAnsi="Arial" w:cs="Arial"/>
                <w:sz w:val="20"/>
                <w:szCs w:val="20"/>
              </w:rPr>
              <w:t xml:space="preserve">.  Steps </w:t>
            </w:r>
            <w:r w:rsidR="00F66F82">
              <w:rPr>
                <w:rFonts w:ascii="Arial" w:hAnsi="Arial" w:cs="Arial"/>
                <w:sz w:val="20"/>
                <w:szCs w:val="20"/>
              </w:rPr>
              <w:t>were</w:t>
            </w:r>
            <w:r>
              <w:rPr>
                <w:rFonts w:ascii="Arial" w:hAnsi="Arial" w:cs="Arial"/>
                <w:sz w:val="20"/>
                <w:szCs w:val="20"/>
              </w:rPr>
              <w:t xml:space="preserve"> </w:t>
            </w:r>
            <w:r w:rsidR="00DF1817">
              <w:rPr>
                <w:rFonts w:ascii="Arial" w:hAnsi="Arial" w:cs="Arial"/>
                <w:sz w:val="20"/>
                <w:szCs w:val="20"/>
              </w:rPr>
              <w:t xml:space="preserve">taken to review the raw data </w:t>
            </w:r>
            <w:r w:rsidR="005876CC">
              <w:rPr>
                <w:rFonts w:ascii="Arial" w:hAnsi="Arial" w:cs="Arial"/>
                <w:sz w:val="20"/>
                <w:szCs w:val="20"/>
              </w:rPr>
              <w:t xml:space="preserve">again </w:t>
            </w:r>
            <w:r w:rsidR="00DF1817">
              <w:rPr>
                <w:rFonts w:ascii="Arial" w:hAnsi="Arial" w:cs="Arial"/>
                <w:sz w:val="20"/>
                <w:szCs w:val="20"/>
              </w:rPr>
              <w:t>for any contracts that were initially missed</w:t>
            </w:r>
            <w:r w:rsidR="004601DB">
              <w:rPr>
                <w:rFonts w:ascii="Arial" w:hAnsi="Arial" w:cs="Arial"/>
                <w:sz w:val="20"/>
                <w:szCs w:val="20"/>
              </w:rPr>
              <w:t xml:space="preserve">.  </w:t>
            </w:r>
            <w:r w:rsidR="005876CC">
              <w:rPr>
                <w:rFonts w:ascii="Arial" w:hAnsi="Arial" w:cs="Arial"/>
                <w:sz w:val="20"/>
                <w:szCs w:val="20"/>
              </w:rPr>
              <w:t xml:space="preserve">A&amp;AS supports Procurement’s efforts to ensure that all contracts subject to the University’s FW/FW are identified and included for monitoring.    </w:t>
            </w:r>
          </w:p>
        </w:tc>
        <w:tc>
          <w:tcPr>
            <w:tcW w:w="4753" w:type="dxa"/>
          </w:tcPr>
          <w:p w:rsidR="002E0AC9" w:rsidRDefault="002E0AC9" w:rsidP="000E2E2F">
            <w:pPr>
              <w:rPr>
                <w:rFonts w:ascii="Arial" w:hAnsi="Arial" w:cs="Arial"/>
                <w:sz w:val="20"/>
                <w:szCs w:val="20"/>
              </w:rPr>
            </w:pPr>
          </w:p>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r w:rsidRPr="009A202D">
              <w:rPr>
                <w:rFonts w:ascii="Arial" w:hAnsi="Arial" w:cs="Arial"/>
                <w:sz w:val="20"/>
                <w:szCs w:val="20"/>
              </w:rPr>
              <w:t>Procurement continues its efforts to retroactively ensure</w:t>
            </w:r>
            <w:r>
              <w:rPr>
                <w:rFonts w:ascii="Arial" w:hAnsi="Arial" w:cs="Arial"/>
                <w:sz w:val="20"/>
                <w:szCs w:val="20"/>
              </w:rPr>
              <w:t xml:space="preserve"> that </w:t>
            </w:r>
            <w:r w:rsidRPr="009A202D">
              <w:rPr>
                <w:rFonts w:ascii="Arial" w:hAnsi="Arial" w:cs="Arial"/>
                <w:sz w:val="20"/>
                <w:szCs w:val="20"/>
              </w:rPr>
              <w:t>all appropriate existing agreements are amended with the FW/FW requirements.</w:t>
            </w:r>
          </w:p>
          <w:p w:rsidR="009A202D" w:rsidRPr="009A202D" w:rsidRDefault="009A202D" w:rsidP="009A202D">
            <w:pPr>
              <w:rPr>
                <w:rFonts w:ascii="Arial" w:hAnsi="Arial" w:cs="Arial"/>
                <w:sz w:val="20"/>
                <w:szCs w:val="20"/>
              </w:rPr>
            </w:pPr>
          </w:p>
          <w:p w:rsidR="009A202D" w:rsidRDefault="009A202D" w:rsidP="009A202D">
            <w:pPr>
              <w:rPr>
                <w:rFonts w:ascii="Arial" w:hAnsi="Arial" w:cs="Arial"/>
                <w:sz w:val="20"/>
                <w:szCs w:val="20"/>
              </w:rPr>
            </w:pPr>
            <w:r w:rsidRPr="009A202D">
              <w:rPr>
                <w:rFonts w:ascii="Arial" w:hAnsi="Arial" w:cs="Arial"/>
                <w:sz w:val="20"/>
                <w:szCs w:val="20"/>
              </w:rPr>
              <w:t xml:space="preserve">The procedure for reviewing and executing new agreements includes a </w:t>
            </w:r>
            <w:r w:rsidR="00F40C23" w:rsidRPr="009A202D">
              <w:rPr>
                <w:rFonts w:ascii="Arial" w:hAnsi="Arial" w:cs="Arial"/>
                <w:sz w:val="20"/>
                <w:szCs w:val="20"/>
              </w:rPr>
              <w:t>three</w:t>
            </w:r>
            <w:r w:rsidR="00F40C23">
              <w:rPr>
                <w:rFonts w:ascii="Arial" w:hAnsi="Arial" w:cs="Arial"/>
                <w:sz w:val="20"/>
                <w:szCs w:val="20"/>
              </w:rPr>
              <w:t>-</w:t>
            </w:r>
            <w:r w:rsidRPr="009A202D">
              <w:rPr>
                <w:rFonts w:ascii="Arial" w:hAnsi="Arial" w:cs="Arial"/>
                <w:sz w:val="20"/>
                <w:szCs w:val="20"/>
              </w:rPr>
              <w:t xml:space="preserve">step process to ensure compliance with </w:t>
            </w:r>
            <w:r>
              <w:rPr>
                <w:rFonts w:ascii="Arial" w:hAnsi="Arial" w:cs="Arial"/>
                <w:sz w:val="20"/>
                <w:szCs w:val="20"/>
              </w:rPr>
              <w:t xml:space="preserve">the </w:t>
            </w:r>
            <w:r w:rsidRPr="009A202D">
              <w:rPr>
                <w:rFonts w:ascii="Arial" w:hAnsi="Arial" w:cs="Arial"/>
                <w:sz w:val="20"/>
                <w:szCs w:val="20"/>
              </w:rPr>
              <w:t>FW/FW requirements.  When submitting a service agreement for review, departments are required to respond to a question about work being performed on a UCLA site.  Additionally</w:t>
            </w:r>
            <w:r w:rsidR="00F40C23">
              <w:rPr>
                <w:rFonts w:ascii="Arial" w:hAnsi="Arial" w:cs="Arial"/>
                <w:sz w:val="20"/>
                <w:szCs w:val="20"/>
              </w:rPr>
              <w:t>,</w:t>
            </w:r>
            <w:r w:rsidRPr="009A202D">
              <w:rPr>
                <w:rFonts w:ascii="Arial" w:hAnsi="Arial" w:cs="Arial"/>
                <w:sz w:val="20"/>
                <w:szCs w:val="20"/>
              </w:rPr>
              <w:t xml:space="preserve"> at the point of assignment, the FW/FW buyer reviews the agreement to validate the department’s response and</w:t>
            </w:r>
            <w:r>
              <w:rPr>
                <w:rFonts w:ascii="Arial" w:hAnsi="Arial" w:cs="Arial"/>
                <w:sz w:val="20"/>
                <w:szCs w:val="20"/>
              </w:rPr>
              <w:t>,</w:t>
            </w:r>
            <w:r w:rsidRPr="009A202D">
              <w:rPr>
                <w:rFonts w:ascii="Arial" w:hAnsi="Arial" w:cs="Arial"/>
                <w:sz w:val="20"/>
                <w:szCs w:val="20"/>
              </w:rPr>
              <w:t xml:space="preserve"> as appropriate, will update the contract assignment form to include the FW/FW requirement.  </w:t>
            </w:r>
            <w:r w:rsidR="00F40C23">
              <w:rPr>
                <w:rFonts w:ascii="Arial" w:hAnsi="Arial" w:cs="Arial"/>
                <w:sz w:val="20"/>
                <w:szCs w:val="20"/>
              </w:rPr>
              <w:t>Finally, it</w:t>
            </w:r>
            <w:r w:rsidRPr="009A202D">
              <w:rPr>
                <w:rFonts w:ascii="Arial" w:hAnsi="Arial" w:cs="Arial"/>
                <w:sz w:val="20"/>
                <w:szCs w:val="20"/>
              </w:rPr>
              <w:t xml:space="preserve"> is the responsibility </w:t>
            </w:r>
            <w:r>
              <w:rPr>
                <w:rFonts w:ascii="Arial" w:hAnsi="Arial" w:cs="Arial"/>
                <w:sz w:val="20"/>
                <w:szCs w:val="20"/>
              </w:rPr>
              <w:t xml:space="preserve">of the contracts analyst </w:t>
            </w:r>
            <w:r w:rsidRPr="009A202D">
              <w:rPr>
                <w:rFonts w:ascii="Arial" w:hAnsi="Arial" w:cs="Arial"/>
                <w:sz w:val="20"/>
                <w:szCs w:val="20"/>
              </w:rPr>
              <w:t xml:space="preserve">to ensure, when appropriate, that the applicable FW/FW requirement is made part of the agreement.  </w:t>
            </w:r>
          </w:p>
          <w:p w:rsidR="009A202D" w:rsidRPr="00FE78FC" w:rsidRDefault="009A202D" w:rsidP="009A202D">
            <w:pPr>
              <w:rPr>
                <w:rFonts w:ascii="Arial" w:hAnsi="Arial" w:cs="Arial"/>
                <w:sz w:val="20"/>
                <w:szCs w:val="20"/>
              </w:rPr>
            </w:pPr>
          </w:p>
        </w:tc>
      </w:tr>
      <w:tr w:rsidR="001140F4" w:rsidRPr="00D46068" w:rsidTr="000E2E2F">
        <w:trPr>
          <w:jc w:val="center"/>
        </w:trPr>
        <w:tc>
          <w:tcPr>
            <w:tcW w:w="467" w:type="dxa"/>
          </w:tcPr>
          <w:p w:rsidR="001140F4" w:rsidRDefault="001140F4" w:rsidP="000E2E2F">
            <w:pPr>
              <w:jc w:val="center"/>
              <w:rPr>
                <w:rFonts w:ascii="Arial" w:hAnsi="Arial" w:cs="Arial"/>
                <w:sz w:val="20"/>
                <w:szCs w:val="20"/>
              </w:rPr>
            </w:pPr>
            <w:r>
              <w:rPr>
                <w:rFonts w:ascii="Arial" w:hAnsi="Arial" w:cs="Arial"/>
                <w:sz w:val="20"/>
                <w:szCs w:val="20"/>
              </w:rPr>
              <w:t>2</w:t>
            </w:r>
          </w:p>
        </w:tc>
        <w:tc>
          <w:tcPr>
            <w:tcW w:w="4752" w:type="dxa"/>
            <w:shd w:val="clear" w:color="auto" w:fill="auto"/>
          </w:tcPr>
          <w:p w:rsidR="001140F4" w:rsidRPr="001140F4" w:rsidRDefault="001140F4" w:rsidP="000E2E2F">
            <w:pPr>
              <w:rPr>
                <w:rFonts w:ascii="Arial" w:hAnsi="Arial" w:cs="Arial"/>
                <w:sz w:val="20"/>
                <w:szCs w:val="20"/>
                <w:u w:val="single"/>
              </w:rPr>
            </w:pPr>
            <w:r>
              <w:rPr>
                <w:rFonts w:ascii="Arial" w:hAnsi="Arial" w:cs="Arial"/>
                <w:sz w:val="20"/>
                <w:szCs w:val="20"/>
                <w:u w:val="single"/>
              </w:rPr>
              <w:t>FW/FW Provision Language in Contracts</w:t>
            </w:r>
          </w:p>
          <w:p w:rsidR="001140F4" w:rsidRDefault="001140F4" w:rsidP="000E2E2F">
            <w:pPr>
              <w:rPr>
                <w:rFonts w:ascii="Arial" w:hAnsi="Arial" w:cs="Arial"/>
                <w:sz w:val="20"/>
                <w:szCs w:val="20"/>
              </w:rPr>
            </w:pPr>
          </w:p>
          <w:p w:rsidR="001140F4" w:rsidRPr="001140F4" w:rsidRDefault="001140F4" w:rsidP="001140F4">
            <w:pPr>
              <w:rPr>
                <w:rFonts w:ascii="Arial" w:hAnsi="Arial" w:cs="Arial"/>
                <w:sz w:val="20"/>
                <w:szCs w:val="20"/>
              </w:rPr>
            </w:pPr>
            <w:r w:rsidRPr="001140F4">
              <w:rPr>
                <w:rFonts w:ascii="Arial" w:hAnsi="Arial" w:cs="Arial"/>
                <w:sz w:val="20"/>
                <w:szCs w:val="20"/>
              </w:rPr>
              <w:t xml:space="preserve">Procurement reviewed all 201 contracts </w:t>
            </w:r>
            <w:r w:rsidR="005876CC">
              <w:rPr>
                <w:rFonts w:ascii="Arial" w:hAnsi="Arial" w:cs="Arial"/>
                <w:sz w:val="20"/>
                <w:szCs w:val="20"/>
              </w:rPr>
              <w:t>identified in I</w:t>
            </w:r>
            <w:r w:rsidR="006B586B">
              <w:rPr>
                <w:rFonts w:ascii="Arial" w:hAnsi="Arial" w:cs="Arial"/>
                <w:sz w:val="20"/>
                <w:szCs w:val="20"/>
              </w:rPr>
              <w:t>tem #</w:t>
            </w:r>
            <w:r w:rsidR="005876CC">
              <w:rPr>
                <w:rFonts w:ascii="Arial" w:hAnsi="Arial" w:cs="Arial"/>
                <w:sz w:val="20"/>
                <w:szCs w:val="20"/>
              </w:rPr>
              <w:t xml:space="preserve">1 above </w:t>
            </w:r>
            <w:r w:rsidRPr="001140F4">
              <w:rPr>
                <w:rFonts w:ascii="Arial" w:hAnsi="Arial" w:cs="Arial"/>
                <w:sz w:val="20"/>
                <w:szCs w:val="20"/>
              </w:rPr>
              <w:t xml:space="preserve">for the </w:t>
            </w:r>
            <w:r w:rsidR="00542637">
              <w:rPr>
                <w:rFonts w:ascii="Arial" w:hAnsi="Arial" w:cs="Arial"/>
                <w:sz w:val="20"/>
                <w:szCs w:val="20"/>
              </w:rPr>
              <w:t xml:space="preserve">presence of </w:t>
            </w:r>
            <w:r w:rsidRPr="001140F4">
              <w:rPr>
                <w:rFonts w:ascii="Arial" w:hAnsi="Arial" w:cs="Arial"/>
                <w:sz w:val="20"/>
                <w:szCs w:val="20"/>
              </w:rPr>
              <w:t xml:space="preserve">FW/FW provision language.  </w:t>
            </w:r>
            <w:r w:rsidR="00DF1817">
              <w:rPr>
                <w:rFonts w:ascii="Arial" w:hAnsi="Arial" w:cs="Arial"/>
                <w:sz w:val="20"/>
                <w:szCs w:val="20"/>
              </w:rPr>
              <w:t xml:space="preserve">They identified </w:t>
            </w:r>
            <w:r w:rsidRPr="001140F4">
              <w:rPr>
                <w:rFonts w:ascii="Arial" w:hAnsi="Arial" w:cs="Arial"/>
                <w:sz w:val="20"/>
                <w:szCs w:val="20"/>
              </w:rPr>
              <w:t>83 contracts lack</w:t>
            </w:r>
            <w:r w:rsidR="00C01D9B">
              <w:rPr>
                <w:rFonts w:ascii="Arial" w:hAnsi="Arial" w:cs="Arial"/>
                <w:sz w:val="20"/>
                <w:szCs w:val="20"/>
              </w:rPr>
              <w:t>ing</w:t>
            </w:r>
            <w:r w:rsidRPr="001140F4">
              <w:rPr>
                <w:rFonts w:ascii="Arial" w:hAnsi="Arial" w:cs="Arial"/>
                <w:sz w:val="20"/>
                <w:szCs w:val="20"/>
              </w:rPr>
              <w:t xml:space="preserve"> the language.</w:t>
            </w:r>
            <w:r w:rsidR="00DF1817">
              <w:rPr>
                <w:rFonts w:ascii="Arial" w:hAnsi="Arial" w:cs="Arial"/>
                <w:sz w:val="20"/>
                <w:szCs w:val="20"/>
              </w:rPr>
              <w:t xml:space="preserve">  </w:t>
            </w:r>
            <w:r w:rsidRPr="001140F4">
              <w:rPr>
                <w:rFonts w:ascii="Arial" w:hAnsi="Arial" w:cs="Arial"/>
                <w:sz w:val="20"/>
                <w:szCs w:val="20"/>
              </w:rPr>
              <w:t xml:space="preserve">As of June 26, 2019, the FW/FW </w:t>
            </w:r>
            <w:r w:rsidR="005876CC">
              <w:rPr>
                <w:rFonts w:ascii="Arial" w:hAnsi="Arial" w:cs="Arial"/>
                <w:sz w:val="20"/>
                <w:szCs w:val="20"/>
              </w:rPr>
              <w:t>Amendment to A</w:t>
            </w:r>
            <w:r w:rsidRPr="001140F4">
              <w:rPr>
                <w:rFonts w:ascii="Arial" w:hAnsi="Arial" w:cs="Arial"/>
                <w:sz w:val="20"/>
                <w:szCs w:val="20"/>
              </w:rPr>
              <w:t xml:space="preserve">greement form has been sent to vendors for 44 of the 83 contracts.  Thus far, Procurement </w:t>
            </w:r>
            <w:r w:rsidR="005876CC">
              <w:rPr>
                <w:rFonts w:ascii="Arial" w:hAnsi="Arial" w:cs="Arial"/>
                <w:sz w:val="20"/>
                <w:szCs w:val="20"/>
              </w:rPr>
              <w:t>has received 11 executed FW/FW Amendment to A</w:t>
            </w:r>
            <w:r w:rsidRPr="001140F4">
              <w:rPr>
                <w:rFonts w:ascii="Arial" w:hAnsi="Arial" w:cs="Arial"/>
                <w:sz w:val="20"/>
                <w:szCs w:val="20"/>
              </w:rPr>
              <w:t xml:space="preserve">greement forms.  </w:t>
            </w:r>
          </w:p>
          <w:p w:rsidR="001140F4" w:rsidRPr="001140F4" w:rsidRDefault="001140F4" w:rsidP="001140F4">
            <w:pPr>
              <w:rPr>
                <w:rFonts w:ascii="Arial" w:hAnsi="Arial" w:cs="Arial"/>
                <w:sz w:val="20"/>
                <w:szCs w:val="20"/>
              </w:rPr>
            </w:pPr>
          </w:p>
          <w:p w:rsidR="001140F4" w:rsidRPr="00CA3BB9" w:rsidRDefault="00542637" w:rsidP="001140F4">
            <w:pPr>
              <w:rPr>
                <w:rFonts w:ascii="Arial" w:hAnsi="Arial" w:cs="Arial"/>
                <w:sz w:val="20"/>
                <w:szCs w:val="20"/>
              </w:rPr>
            </w:pPr>
            <w:r>
              <w:rPr>
                <w:rFonts w:ascii="Arial" w:hAnsi="Arial" w:cs="Arial"/>
                <w:sz w:val="20"/>
                <w:szCs w:val="20"/>
              </w:rPr>
              <w:t xml:space="preserve">The auditor’s </w:t>
            </w:r>
            <w:r w:rsidR="001140F4" w:rsidRPr="001140F4">
              <w:rPr>
                <w:rFonts w:ascii="Arial" w:hAnsi="Arial" w:cs="Arial"/>
                <w:sz w:val="20"/>
                <w:szCs w:val="20"/>
              </w:rPr>
              <w:t xml:space="preserve">limited review of </w:t>
            </w:r>
            <w:r>
              <w:rPr>
                <w:rFonts w:ascii="Arial" w:hAnsi="Arial" w:cs="Arial"/>
                <w:sz w:val="20"/>
                <w:szCs w:val="20"/>
              </w:rPr>
              <w:t xml:space="preserve">a sample of </w:t>
            </w:r>
            <w:r w:rsidR="001140F4" w:rsidRPr="001140F4">
              <w:rPr>
                <w:rFonts w:ascii="Arial" w:hAnsi="Arial" w:cs="Arial"/>
                <w:sz w:val="20"/>
                <w:szCs w:val="20"/>
              </w:rPr>
              <w:t xml:space="preserve">contracts executed in calendar year 2018 showed that </w:t>
            </w:r>
            <w:r w:rsidR="00D320B1">
              <w:rPr>
                <w:rFonts w:ascii="Arial" w:hAnsi="Arial" w:cs="Arial"/>
                <w:sz w:val="20"/>
                <w:szCs w:val="20"/>
              </w:rPr>
              <w:t xml:space="preserve">the </w:t>
            </w:r>
            <w:r w:rsidR="001140F4" w:rsidRPr="001140F4">
              <w:rPr>
                <w:rFonts w:ascii="Arial" w:hAnsi="Arial" w:cs="Arial"/>
                <w:sz w:val="20"/>
                <w:szCs w:val="20"/>
              </w:rPr>
              <w:t>FW/FW provision language in them is consistent between the contract and the applicable version of the standard terms and conditions.</w:t>
            </w:r>
            <w:r w:rsidR="001140F4">
              <w:rPr>
                <w:rFonts w:ascii="Arial" w:hAnsi="Arial" w:cs="Arial"/>
                <w:sz w:val="20"/>
                <w:szCs w:val="20"/>
              </w:rPr>
              <w:t xml:space="preserve">  </w:t>
            </w:r>
          </w:p>
          <w:p w:rsidR="00C9686D" w:rsidRDefault="00C9686D" w:rsidP="001140F4">
            <w:pPr>
              <w:rPr>
                <w:rFonts w:ascii="Arial" w:hAnsi="Arial" w:cs="Arial"/>
                <w:sz w:val="20"/>
                <w:szCs w:val="20"/>
              </w:rPr>
            </w:pPr>
          </w:p>
          <w:p w:rsidR="001140F4" w:rsidRPr="006F12C5" w:rsidRDefault="001140F4" w:rsidP="001140F4">
            <w:pPr>
              <w:rPr>
                <w:rFonts w:ascii="Arial" w:hAnsi="Arial" w:cs="Arial"/>
                <w:sz w:val="20"/>
                <w:szCs w:val="20"/>
              </w:rPr>
            </w:pPr>
            <w:r w:rsidRPr="006F12C5">
              <w:rPr>
                <w:rFonts w:ascii="Arial" w:hAnsi="Arial" w:cs="Arial"/>
                <w:sz w:val="20"/>
                <w:szCs w:val="20"/>
              </w:rPr>
              <w:t>___________________</w:t>
            </w:r>
          </w:p>
          <w:p w:rsidR="001140F4" w:rsidRPr="006F12C5" w:rsidRDefault="001140F4" w:rsidP="001140F4">
            <w:pPr>
              <w:rPr>
                <w:rFonts w:ascii="Arial" w:hAnsi="Arial" w:cs="Arial"/>
                <w:sz w:val="16"/>
                <w:szCs w:val="16"/>
              </w:rPr>
            </w:pPr>
            <w:r w:rsidRPr="006F12C5">
              <w:rPr>
                <w:rFonts w:ascii="Arial" w:hAnsi="Arial" w:cs="Arial"/>
                <w:b/>
                <w:sz w:val="16"/>
                <w:szCs w:val="16"/>
              </w:rPr>
              <w:t>Criteria:</w:t>
            </w:r>
            <w:r w:rsidRPr="006F12C5">
              <w:rPr>
                <w:rFonts w:ascii="Arial" w:hAnsi="Arial" w:cs="Arial"/>
                <w:sz w:val="16"/>
                <w:szCs w:val="16"/>
              </w:rPr>
              <w:t xml:space="preserve">  </w:t>
            </w:r>
          </w:p>
          <w:p w:rsidR="001140F4" w:rsidRDefault="001140F4" w:rsidP="000E2E2F">
            <w:pPr>
              <w:rPr>
                <w:rFonts w:ascii="Arial" w:hAnsi="Arial" w:cs="Arial"/>
                <w:sz w:val="20"/>
                <w:szCs w:val="20"/>
              </w:rPr>
            </w:pPr>
            <w:r w:rsidRPr="004601DB">
              <w:rPr>
                <w:rFonts w:ascii="Arial" w:hAnsi="Arial" w:cs="Arial"/>
                <w:sz w:val="16"/>
                <w:szCs w:val="16"/>
              </w:rPr>
              <w:t xml:space="preserve">BUS-43, </w:t>
            </w:r>
            <w:r w:rsidR="004E36C5">
              <w:rPr>
                <w:rFonts w:ascii="Arial" w:hAnsi="Arial" w:cs="Arial"/>
                <w:sz w:val="16"/>
                <w:szCs w:val="16"/>
              </w:rPr>
              <w:t>III</w:t>
            </w:r>
            <w:r w:rsidRPr="004601DB">
              <w:rPr>
                <w:rFonts w:ascii="Arial" w:hAnsi="Arial" w:cs="Arial"/>
                <w:sz w:val="16"/>
                <w:szCs w:val="16"/>
              </w:rPr>
              <w:t>, Part 1, E.1.d.ii. [Fair Wage/Fair Work] Contracting Procedures:  All contracts for UC Fair Wage/Fair Work Services must contain a provision substantially in the form of the UC Fair Wage/Fair Work Article [25] in the UC Terms and Conditions of Purchase.</w:t>
            </w:r>
            <w:r w:rsidRPr="00583BC9">
              <w:rPr>
                <w:rFonts w:ascii="Arial" w:hAnsi="Arial" w:cs="Arial"/>
                <w:sz w:val="16"/>
                <w:szCs w:val="16"/>
              </w:rPr>
              <w:t> </w:t>
            </w:r>
          </w:p>
          <w:p w:rsidR="001140F4" w:rsidRPr="006F12C5" w:rsidRDefault="001140F4" w:rsidP="000E2E2F">
            <w:pPr>
              <w:rPr>
                <w:rFonts w:ascii="Arial" w:hAnsi="Arial" w:cs="Arial"/>
                <w:sz w:val="20"/>
                <w:szCs w:val="20"/>
              </w:rPr>
            </w:pPr>
          </w:p>
        </w:tc>
        <w:tc>
          <w:tcPr>
            <w:tcW w:w="4752" w:type="dxa"/>
            <w:shd w:val="clear" w:color="auto" w:fill="auto"/>
          </w:tcPr>
          <w:p w:rsidR="001140F4" w:rsidRDefault="001140F4" w:rsidP="000E2E2F">
            <w:pPr>
              <w:rPr>
                <w:rFonts w:ascii="Arial" w:hAnsi="Arial" w:cs="Arial"/>
                <w:sz w:val="20"/>
                <w:szCs w:val="20"/>
              </w:rPr>
            </w:pPr>
          </w:p>
          <w:p w:rsidR="005876CC" w:rsidRDefault="005876CC" w:rsidP="000E2E2F">
            <w:pPr>
              <w:rPr>
                <w:rFonts w:ascii="Arial" w:hAnsi="Arial" w:cs="Arial"/>
                <w:sz w:val="20"/>
                <w:szCs w:val="20"/>
              </w:rPr>
            </w:pPr>
          </w:p>
          <w:p w:rsidR="005876CC" w:rsidRDefault="005876CC" w:rsidP="000E2E2F">
            <w:pPr>
              <w:rPr>
                <w:rFonts w:ascii="Arial" w:hAnsi="Arial" w:cs="Arial"/>
                <w:sz w:val="20"/>
                <w:szCs w:val="20"/>
              </w:rPr>
            </w:pPr>
            <w:r>
              <w:rPr>
                <w:rFonts w:ascii="Arial" w:hAnsi="Arial" w:cs="Arial"/>
                <w:sz w:val="20"/>
                <w:szCs w:val="20"/>
              </w:rPr>
              <w:t xml:space="preserve">A&amp;AS supports the continued efforts of Procurement to ensure </w:t>
            </w:r>
            <w:r w:rsidR="00D320B1">
              <w:rPr>
                <w:rFonts w:ascii="Arial" w:hAnsi="Arial" w:cs="Arial"/>
                <w:sz w:val="20"/>
                <w:szCs w:val="20"/>
              </w:rPr>
              <w:t xml:space="preserve">that the FW/FW Amendment to Agreement form is provided and executed for all contracts that lack the FW/FW provision language.  </w:t>
            </w:r>
          </w:p>
          <w:p w:rsidR="00F66F82" w:rsidRDefault="00F66F82" w:rsidP="000E2E2F">
            <w:pPr>
              <w:rPr>
                <w:rFonts w:ascii="Arial" w:hAnsi="Arial" w:cs="Arial"/>
                <w:sz w:val="20"/>
                <w:szCs w:val="20"/>
              </w:rPr>
            </w:pPr>
          </w:p>
          <w:p w:rsidR="00F66F82" w:rsidRPr="006F12C5" w:rsidRDefault="00F66F82" w:rsidP="00475BD7">
            <w:pPr>
              <w:rPr>
                <w:rFonts w:ascii="Arial" w:hAnsi="Arial" w:cs="Arial"/>
                <w:sz w:val="20"/>
                <w:szCs w:val="20"/>
              </w:rPr>
            </w:pPr>
            <w:r>
              <w:rPr>
                <w:rFonts w:ascii="Arial" w:hAnsi="Arial" w:cs="Arial"/>
                <w:sz w:val="20"/>
                <w:szCs w:val="20"/>
              </w:rPr>
              <w:t xml:space="preserve">If a vendor is unresponsive, management should determine </w:t>
            </w:r>
            <w:r w:rsidR="00475BD7">
              <w:rPr>
                <w:rFonts w:ascii="Arial" w:hAnsi="Arial" w:cs="Arial"/>
                <w:sz w:val="20"/>
                <w:szCs w:val="20"/>
              </w:rPr>
              <w:t xml:space="preserve">whether </w:t>
            </w:r>
            <w:r>
              <w:rPr>
                <w:rFonts w:ascii="Arial" w:hAnsi="Arial" w:cs="Arial"/>
                <w:sz w:val="20"/>
                <w:szCs w:val="20"/>
              </w:rPr>
              <w:t xml:space="preserve">the contract should be </w:t>
            </w:r>
            <w:r>
              <w:rPr>
                <w:rFonts w:ascii="Arial" w:hAnsi="Arial" w:cs="Arial"/>
                <w:sz w:val="20"/>
                <w:szCs w:val="20"/>
              </w:rPr>
              <w:lastRenderedPageBreak/>
              <w:t xml:space="preserve">cancelled with the vendor or </w:t>
            </w:r>
            <w:r w:rsidR="00475BD7">
              <w:rPr>
                <w:rFonts w:ascii="Arial" w:hAnsi="Arial" w:cs="Arial"/>
                <w:sz w:val="20"/>
                <w:szCs w:val="20"/>
              </w:rPr>
              <w:t xml:space="preserve">whether </w:t>
            </w:r>
            <w:r>
              <w:rPr>
                <w:rFonts w:ascii="Arial" w:hAnsi="Arial" w:cs="Arial"/>
                <w:sz w:val="20"/>
                <w:szCs w:val="20"/>
              </w:rPr>
              <w:t xml:space="preserve">the vendor </w:t>
            </w:r>
            <w:r w:rsidR="00475BD7">
              <w:rPr>
                <w:rFonts w:ascii="Arial" w:hAnsi="Arial" w:cs="Arial"/>
                <w:sz w:val="20"/>
                <w:szCs w:val="20"/>
              </w:rPr>
              <w:t xml:space="preserve">should be granted </w:t>
            </w:r>
            <w:r>
              <w:rPr>
                <w:rFonts w:ascii="Arial" w:hAnsi="Arial" w:cs="Arial"/>
                <w:sz w:val="20"/>
                <w:szCs w:val="20"/>
              </w:rPr>
              <w:t xml:space="preserve">an exemption from the FW/FW requirements to allow the contract to continue.  If the latter, </w:t>
            </w:r>
            <w:r w:rsidRPr="001140F4">
              <w:rPr>
                <w:rFonts w:ascii="Arial" w:hAnsi="Arial" w:cs="Arial"/>
                <w:sz w:val="20"/>
                <w:szCs w:val="20"/>
              </w:rPr>
              <w:t>management should assure that proper documentation and approvals are completed</w:t>
            </w:r>
            <w:r>
              <w:rPr>
                <w:rFonts w:ascii="Arial" w:hAnsi="Arial" w:cs="Arial"/>
                <w:sz w:val="20"/>
                <w:szCs w:val="20"/>
              </w:rPr>
              <w:t xml:space="preserve">.  </w:t>
            </w:r>
          </w:p>
        </w:tc>
        <w:tc>
          <w:tcPr>
            <w:tcW w:w="4753" w:type="dxa"/>
          </w:tcPr>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r w:rsidRPr="009A202D">
              <w:rPr>
                <w:rFonts w:ascii="Arial" w:hAnsi="Arial" w:cs="Arial"/>
                <w:sz w:val="20"/>
                <w:szCs w:val="20"/>
              </w:rPr>
              <w:t>At the time of the audit, 201 contracts were identified as part of Item #1</w:t>
            </w:r>
            <w:r w:rsidR="00F40C23">
              <w:rPr>
                <w:rFonts w:ascii="Arial" w:hAnsi="Arial" w:cs="Arial"/>
                <w:sz w:val="20"/>
                <w:szCs w:val="20"/>
              </w:rPr>
              <w:t>,</w:t>
            </w:r>
            <w:r w:rsidRPr="009A202D">
              <w:rPr>
                <w:rFonts w:ascii="Arial" w:hAnsi="Arial" w:cs="Arial"/>
                <w:sz w:val="20"/>
                <w:szCs w:val="20"/>
              </w:rPr>
              <w:t xml:space="preserve"> above.  With additional review and scrutiny of existing agreements, an additional 39 agreement</w:t>
            </w:r>
            <w:r w:rsidR="00F40C23">
              <w:rPr>
                <w:rFonts w:ascii="Arial" w:hAnsi="Arial" w:cs="Arial"/>
                <w:sz w:val="20"/>
                <w:szCs w:val="20"/>
              </w:rPr>
              <w:t>s</w:t>
            </w:r>
            <w:r w:rsidRPr="009A202D">
              <w:rPr>
                <w:rFonts w:ascii="Arial" w:hAnsi="Arial" w:cs="Arial"/>
                <w:sz w:val="20"/>
                <w:szCs w:val="20"/>
              </w:rPr>
              <w:t xml:space="preserve"> were identified a</w:t>
            </w:r>
            <w:r>
              <w:rPr>
                <w:rFonts w:ascii="Arial" w:hAnsi="Arial" w:cs="Arial"/>
                <w:sz w:val="20"/>
                <w:szCs w:val="20"/>
              </w:rPr>
              <w:t>s</w:t>
            </w:r>
            <w:r w:rsidRPr="009A202D">
              <w:rPr>
                <w:rFonts w:ascii="Arial" w:hAnsi="Arial" w:cs="Arial"/>
                <w:sz w:val="20"/>
                <w:szCs w:val="20"/>
              </w:rPr>
              <w:t xml:space="preserve"> possible candidates for the FW/FW requirements</w:t>
            </w:r>
            <w:r w:rsidR="00F40C23">
              <w:rPr>
                <w:rFonts w:ascii="Arial" w:hAnsi="Arial" w:cs="Arial"/>
                <w:sz w:val="20"/>
                <w:szCs w:val="20"/>
              </w:rPr>
              <w:t>, t</w:t>
            </w:r>
            <w:r w:rsidRPr="009A202D">
              <w:rPr>
                <w:rFonts w:ascii="Arial" w:hAnsi="Arial" w:cs="Arial"/>
                <w:sz w:val="20"/>
                <w:szCs w:val="20"/>
              </w:rPr>
              <w:t>hus adjusting the total to 240 agreements.</w:t>
            </w:r>
          </w:p>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r w:rsidRPr="009A202D">
              <w:rPr>
                <w:rFonts w:ascii="Arial" w:hAnsi="Arial" w:cs="Arial"/>
                <w:sz w:val="20"/>
                <w:szCs w:val="20"/>
              </w:rPr>
              <w:lastRenderedPageBreak/>
              <w:t>Though at the time of the audit, Procurement indicated that FW/FW may apply to 83 of the 201 agreements and</w:t>
            </w:r>
            <w:r w:rsidR="00F40C23">
              <w:rPr>
                <w:rFonts w:ascii="Arial" w:hAnsi="Arial" w:cs="Arial"/>
                <w:sz w:val="20"/>
                <w:szCs w:val="20"/>
              </w:rPr>
              <w:t>,</w:t>
            </w:r>
            <w:r w:rsidRPr="009A202D">
              <w:rPr>
                <w:rFonts w:ascii="Arial" w:hAnsi="Arial" w:cs="Arial"/>
                <w:sz w:val="20"/>
                <w:szCs w:val="20"/>
              </w:rPr>
              <w:t xml:space="preserve"> even after the addition of 39 agreement</w:t>
            </w:r>
            <w:r w:rsidR="00F40C23">
              <w:rPr>
                <w:rFonts w:ascii="Arial" w:hAnsi="Arial" w:cs="Arial"/>
                <w:sz w:val="20"/>
                <w:szCs w:val="20"/>
              </w:rPr>
              <w:t>s</w:t>
            </w:r>
            <w:r w:rsidRPr="009A202D">
              <w:rPr>
                <w:rFonts w:ascii="Arial" w:hAnsi="Arial" w:cs="Arial"/>
                <w:sz w:val="20"/>
                <w:szCs w:val="20"/>
              </w:rPr>
              <w:t xml:space="preserve">, it was finally determined that only 59 agreements required FW/FW amendments.  Possible reasons for the reduction in numbers were expired agreements, FW/FW not applicable, and another agreement replaced </w:t>
            </w:r>
            <w:r w:rsidR="00F40C23">
              <w:rPr>
                <w:rFonts w:ascii="Arial" w:hAnsi="Arial" w:cs="Arial"/>
                <w:sz w:val="20"/>
                <w:szCs w:val="20"/>
              </w:rPr>
              <w:t xml:space="preserve">an </w:t>
            </w:r>
            <w:r w:rsidRPr="009A202D">
              <w:rPr>
                <w:rFonts w:ascii="Arial" w:hAnsi="Arial" w:cs="Arial"/>
                <w:sz w:val="20"/>
                <w:szCs w:val="20"/>
              </w:rPr>
              <w:t>existing agreement.</w:t>
            </w:r>
          </w:p>
          <w:p w:rsidR="009A202D" w:rsidRPr="009A202D" w:rsidRDefault="009A202D" w:rsidP="009A202D">
            <w:pPr>
              <w:rPr>
                <w:rFonts w:ascii="Arial" w:hAnsi="Arial" w:cs="Arial"/>
                <w:sz w:val="20"/>
                <w:szCs w:val="20"/>
              </w:rPr>
            </w:pPr>
          </w:p>
          <w:p w:rsidR="001140F4" w:rsidRDefault="009A202D" w:rsidP="009A202D">
            <w:pPr>
              <w:rPr>
                <w:rFonts w:ascii="Arial" w:hAnsi="Arial" w:cs="Arial"/>
                <w:sz w:val="20"/>
                <w:szCs w:val="20"/>
              </w:rPr>
            </w:pPr>
            <w:r w:rsidRPr="009A202D">
              <w:rPr>
                <w:rFonts w:ascii="Arial" w:hAnsi="Arial" w:cs="Arial"/>
                <w:sz w:val="20"/>
                <w:szCs w:val="20"/>
              </w:rPr>
              <w:t xml:space="preserve">As of </w:t>
            </w:r>
            <w:r w:rsidR="00F40C23">
              <w:rPr>
                <w:rFonts w:ascii="Arial" w:hAnsi="Arial" w:cs="Arial"/>
                <w:sz w:val="20"/>
                <w:szCs w:val="20"/>
              </w:rPr>
              <w:t xml:space="preserve">this response </w:t>
            </w:r>
            <w:r w:rsidRPr="009A202D">
              <w:rPr>
                <w:rFonts w:ascii="Arial" w:hAnsi="Arial" w:cs="Arial"/>
                <w:sz w:val="20"/>
                <w:szCs w:val="20"/>
              </w:rPr>
              <w:t>date, the FW/FW Amendment to Agreement form has been sent to all vendors</w:t>
            </w:r>
            <w:r>
              <w:rPr>
                <w:rFonts w:ascii="Arial" w:hAnsi="Arial" w:cs="Arial"/>
                <w:sz w:val="20"/>
                <w:szCs w:val="20"/>
              </w:rPr>
              <w:t xml:space="preserve"> </w:t>
            </w:r>
            <w:r w:rsidRPr="009A202D">
              <w:rPr>
                <w:rFonts w:ascii="Arial" w:hAnsi="Arial" w:cs="Arial"/>
                <w:sz w:val="20"/>
                <w:szCs w:val="20"/>
              </w:rPr>
              <w:t>(59)</w:t>
            </w:r>
            <w:r w:rsidR="00F40C23">
              <w:rPr>
                <w:rFonts w:ascii="Arial" w:hAnsi="Arial" w:cs="Arial"/>
                <w:sz w:val="20"/>
                <w:szCs w:val="20"/>
              </w:rPr>
              <w:t>,</w:t>
            </w:r>
            <w:r w:rsidRPr="009A202D">
              <w:rPr>
                <w:rFonts w:ascii="Arial" w:hAnsi="Arial" w:cs="Arial"/>
                <w:sz w:val="20"/>
                <w:szCs w:val="20"/>
              </w:rPr>
              <w:t xml:space="preserve"> and 25 have been accepted and returned.  Follow-up contact has been made for all outstanding amendments.  Procurement has determined that it will send out two reminders</w:t>
            </w:r>
            <w:r w:rsidR="00F40C23">
              <w:rPr>
                <w:rFonts w:ascii="Arial" w:hAnsi="Arial" w:cs="Arial"/>
                <w:sz w:val="20"/>
                <w:szCs w:val="20"/>
              </w:rPr>
              <w:t>,</w:t>
            </w:r>
            <w:r w:rsidRPr="009A202D">
              <w:rPr>
                <w:rFonts w:ascii="Arial" w:hAnsi="Arial" w:cs="Arial"/>
                <w:sz w:val="20"/>
                <w:szCs w:val="20"/>
              </w:rPr>
              <w:t xml:space="preserve"> and </w:t>
            </w:r>
            <w:r w:rsidR="00F40C23">
              <w:rPr>
                <w:rFonts w:ascii="Arial" w:hAnsi="Arial" w:cs="Arial"/>
                <w:sz w:val="20"/>
                <w:szCs w:val="20"/>
              </w:rPr>
              <w:t>a</w:t>
            </w:r>
            <w:r w:rsidRPr="009A202D">
              <w:rPr>
                <w:rFonts w:ascii="Arial" w:hAnsi="Arial" w:cs="Arial"/>
                <w:sz w:val="20"/>
                <w:szCs w:val="20"/>
              </w:rPr>
              <w:t xml:space="preserve"> third reminder will put the vendor on notice of cancellation for failure to respond.  </w:t>
            </w:r>
          </w:p>
          <w:p w:rsidR="009A202D" w:rsidRPr="00FE78FC" w:rsidRDefault="009A202D" w:rsidP="009A202D">
            <w:pPr>
              <w:rPr>
                <w:rFonts w:ascii="Arial" w:hAnsi="Arial" w:cs="Arial"/>
                <w:sz w:val="20"/>
                <w:szCs w:val="20"/>
              </w:rPr>
            </w:pPr>
          </w:p>
        </w:tc>
      </w:tr>
      <w:tr w:rsidR="001140F4" w:rsidRPr="00D46068" w:rsidTr="000E2E2F">
        <w:trPr>
          <w:jc w:val="center"/>
        </w:trPr>
        <w:tc>
          <w:tcPr>
            <w:tcW w:w="467" w:type="dxa"/>
          </w:tcPr>
          <w:p w:rsidR="001140F4" w:rsidRDefault="001140F4" w:rsidP="000E2E2F">
            <w:pPr>
              <w:jc w:val="center"/>
              <w:rPr>
                <w:rFonts w:ascii="Arial" w:hAnsi="Arial" w:cs="Arial"/>
                <w:sz w:val="20"/>
                <w:szCs w:val="20"/>
              </w:rPr>
            </w:pPr>
            <w:r>
              <w:rPr>
                <w:rFonts w:ascii="Arial" w:hAnsi="Arial" w:cs="Arial"/>
                <w:sz w:val="20"/>
                <w:szCs w:val="20"/>
              </w:rPr>
              <w:lastRenderedPageBreak/>
              <w:t>3</w:t>
            </w:r>
          </w:p>
        </w:tc>
        <w:tc>
          <w:tcPr>
            <w:tcW w:w="4752" w:type="dxa"/>
            <w:shd w:val="clear" w:color="auto" w:fill="auto"/>
          </w:tcPr>
          <w:p w:rsidR="001140F4" w:rsidRPr="001140F4" w:rsidRDefault="001140F4" w:rsidP="000E2E2F">
            <w:pPr>
              <w:rPr>
                <w:rFonts w:ascii="Arial" w:hAnsi="Arial" w:cs="Arial"/>
                <w:sz w:val="20"/>
                <w:szCs w:val="20"/>
                <w:u w:val="single"/>
              </w:rPr>
            </w:pPr>
            <w:r>
              <w:rPr>
                <w:rFonts w:ascii="Arial" w:hAnsi="Arial" w:cs="Arial"/>
                <w:sz w:val="20"/>
                <w:szCs w:val="20"/>
                <w:u w:val="single"/>
              </w:rPr>
              <w:t>Vendor FW/FW Audits</w:t>
            </w:r>
          </w:p>
          <w:p w:rsidR="001140F4" w:rsidRDefault="001140F4" w:rsidP="000E2E2F">
            <w:pPr>
              <w:rPr>
                <w:rFonts w:ascii="Arial" w:hAnsi="Arial" w:cs="Arial"/>
                <w:sz w:val="20"/>
                <w:szCs w:val="20"/>
              </w:rPr>
            </w:pPr>
          </w:p>
          <w:p w:rsidR="004601DB" w:rsidRPr="004601DB" w:rsidRDefault="006B586B" w:rsidP="004601DB">
            <w:pPr>
              <w:rPr>
                <w:rFonts w:ascii="Arial" w:hAnsi="Arial" w:cs="Arial"/>
                <w:sz w:val="20"/>
                <w:szCs w:val="20"/>
              </w:rPr>
            </w:pPr>
            <w:r w:rsidRPr="006B586B">
              <w:rPr>
                <w:rFonts w:ascii="Arial" w:hAnsi="Arial" w:cs="Arial"/>
                <w:sz w:val="20"/>
                <w:szCs w:val="20"/>
              </w:rPr>
              <w:t>Procurement reviewed all 20</w:t>
            </w:r>
            <w:r>
              <w:rPr>
                <w:rFonts w:ascii="Arial" w:hAnsi="Arial" w:cs="Arial"/>
                <w:sz w:val="20"/>
                <w:szCs w:val="20"/>
              </w:rPr>
              <w:t>1 contracts identified in Item #</w:t>
            </w:r>
            <w:r w:rsidRPr="006B586B">
              <w:rPr>
                <w:rFonts w:ascii="Arial" w:hAnsi="Arial" w:cs="Arial"/>
                <w:sz w:val="20"/>
                <w:szCs w:val="20"/>
              </w:rPr>
              <w:t>1 above</w:t>
            </w:r>
            <w:r>
              <w:rPr>
                <w:rFonts w:ascii="Arial" w:hAnsi="Arial" w:cs="Arial"/>
                <w:sz w:val="20"/>
                <w:szCs w:val="20"/>
              </w:rPr>
              <w:t xml:space="preserve"> </w:t>
            </w:r>
            <w:r w:rsidR="004601DB" w:rsidRPr="004601DB">
              <w:rPr>
                <w:rFonts w:ascii="Arial" w:hAnsi="Arial" w:cs="Arial"/>
                <w:sz w:val="20"/>
                <w:szCs w:val="20"/>
              </w:rPr>
              <w:t xml:space="preserve">to identify contracts with an annual service spend exceeding $100,000 for calendar year 2018.  Thirty-two (32) contracts met </w:t>
            </w:r>
            <w:r>
              <w:rPr>
                <w:rFonts w:ascii="Arial" w:hAnsi="Arial" w:cs="Arial"/>
                <w:sz w:val="20"/>
                <w:szCs w:val="20"/>
              </w:rPr>
              <w:t>the criterion</w:t>
            </w:r>
            <w:r w:rsidR="004601DB" w:rsidRPr="004601DB">
              <w:rPr>
                <w:rFonts w:ascii="Arial" w:hAnsi="Arial" w:cs="Arial"/>
                <w:sz w:val="20"/>
                <w:szCs w:val="20"/>
              </w:rPr>
              <w:t xml:space="preserve">.  </w:t>
            </w:r>
          </w:p>
          <w:p w:rsidR="004601DB" w:rsidRPr="004601DB" w:rsidRDefault="004601DB" w:rsidP="004601DB">
            <w:pPr>
              <w:rPr>
                <w:rFonts w:ascii="Arial" w:hAnsi="Arial" w:cs="Arial"/>
                <w:sz w:val="20"/>
                <w:szCs w:val="20"/>
              </w:rPr>
            </w:pPr>
          </w:p>
          <w:p w:rsidR="001140F4" w:rsidRDefault="004601DB" w:rsidP="004601DB">
            <w:pPr>
              <w:rPr>
                <w:rFonts w:ascii="Arial" w:hAnsi="Arial" w:cs="Arial"/>
                <w:sz w:val="20"/>
                <w:szCs w:val="20"/>
              </w:rPr>
            </w:pPr>
            <w:r w:rsidRPr="004601DB">
              <w:rPr>
                <w:rFonts w:ascii="Arial" w:hAnsi="Arial" w:cs="Arial"/>
                <w:sz w:val="20"/>
                <w:szCs w:val="20"/>
              </w:rPr>
              <w:t xml:space="preserve">As of June 26, 2019, the Annual Verification Standards and Procedures for UC Fair Wage/Fair Work and UC Fair Wage/Fair Work Independent Accountant/Internal Auditor Verification forms have been sent to vendors </w:t>
            </w:r>
            <w:r w:rsidR="00542928">
              <w:rPr>
                <w:rFonts w:ascii="Arial" w:hAnsi="Arial" w:cs="Arial"/>
                <w:sz w:val="20"/>
                <w:szCs w:val="20"/>
              </w:rPr>
              <w:t>for 27 of the 32 contracts.  To-</w:t>
            </w:r>
            <w:r w:rsidRPr="004601DB">
              <w:rPr>
                <w:rFonts w:ascii="Arial" w:hAnsi="Arial" w:cs="Arial"/>
                <w:sz w:val="20"/>
                <w:szCs w:val="20"/>
              </w:rPr>
              <w:t xml:space="preserve">date, Procurement has received one completed auditor verification form.  </w:t>
            </w:r>
            <w:r w:rsidR="00AC2B7C">
              <w:rPr>
                <w:rFonts w:ascii="Arial" w:hAnsi="Arial" w:cs="Arial"/>
                <w:sz w:val="20"/>
                <w:szCs w:val="20"/>
              </w:rPr>
              <w:t xml:space="preserve">The audit was performed by an independent licensed public accountant with no affiliation with the supplier.  The accountant noted no exceptions.  </w:t>
            </w:r>
          </w:p>
          <w:p w:rsidR="004601DB" w:rsidRDefault="004601DB" w:rsidP="004601DB">
            <w:pPr>
              <w:rPr>
                <w:rFonts w:ascii="Arial" w:hAnsi="Arial" w:cs="Arial"/>
                <w:sz w:val="20"/>
                <w:szCs w:val="20"/>
              </w:rPr>
            </w:pPr>
          </w:p>
          <w:p w:rsidR="004601DB" w:rsidRDefault="004601DB" w:rsidP="004601DB">
            <w:pPr>
              <w:rPr>
                <w:rFonts w:ascii="Arial" w:hAnsi="Arial" w:cs="Arial"/>
                <w:sz w:val="20"/>
                <w:szCs w:val="20"/>
              </w:rPr>
            </w:pPr>
            <w:r>
              <w:rPr>
                <w:rFonts w:ascii="Arial" w:hAnsi="Arial" w:cs="Arial"/>
                <w:sz w:val="20"/>
                <w:szCs w:val="20"/>
              </w:rPr>
              <w:lastRenderedPageBreak/>
              <w:t>For purposes of this fiscal year’s audit, t</w:t>
            </w:r>
            <w:r w:rsidR="00C01D9B">
              <w:rPr>
                <w:rFonts w:ascii="Arial" w:hAnsi="Arial" w:cs="Arial"/>
                <w:sz w:val="20"/>
                <w:szCs w:val="20"/>
              </w:rPr>
              <w:t xml:space="preserve">he </w:t>
            </w:r>
            <w:r w:rsidRPr="004601DB">
              <w:rPr>
                <w:rFonts w:ascii="Arial" w:hAnsi="Arial" w:cs="Arial"/>
                <w:sz w:val="20"/>
                <w:szCs w:val="20"/>
              </w:rPr>
              <w:t xml:space="preserve">review of a contract with an annual service spend exceeding $100,000 for calendar year 2018 </w:t>
            </w:r>
            <w:r>
              <w:rPr>
                <w:rFonts w:ascii="Arial" w:hAnsi="Arial" w:cs="Arial"/>
                <w:sz w:val="20"/>
                <w:szCs w:val="20"/>
              </w:rPr>
              <w:t>wa</w:t>
            </w:r>
            <w:r w:rsidRPr="004601DB">
              <w:rPr>
                <w:rFonts w:ascii="Arial" w:hAnsi="Arial" w:cs="Arial"/>
                <w:sz w:val="20"/>
                <w:szCs w:val="20"/>
              </w:rPr>
              <w:t xml:space="preserve">s performed on a UCLA campus contract.  </w:t>
            </w:r>
            <w:r>
              <w:rPr>
                <w:rFonts w:ascii="Arial" w:hAnsi="Arial" w:cs="Arial"/>
                <w:sz w:val="20"/>
                <w:szCs w:val="20"/>
              </w:rPr>
              <w:t xml:space="preserve">Please refer to </w:t>
            </w:r>
            <w:r w:rsidRPr="004601DB">
              <w:rPr>
                <w:rFonts w:ascii="Arial" w:hAnsi="Arial" w:cs="Arial"/>
                <w:sz w:val="20"/>
                <w:szCs w:val="20"/>
              </w:rPr>
              <w:t xml:space="preserve">Audit #19-4011, Fair Wage/Fair Work </w:t>
            </w:r>
            <w:r w:rsidR="006B586B">
              <w:rPr>
                <w:rFonts w:ascii="Arial" w:hAnsi="Arial" w:cs="Arial"/>
                <w:sz w:val="20"/>
                <w:szCs w:val="20"/>
              </w:rPr>
              <w:t>–</w:t>
            </w:r>
            <w:r w:rsidRPr="004601DB">
              <w:rPr>
                <w:rFonts w:ascii="Arial" w:hAnsi="Arial" w:cs="Arial"/>
                <w:sz w:val="20"/>
                <w:szCs w:val="20"/>
              </w:rPr>
              <w:t xml:space="preserve"> Campus</w:t>
            </w:r>
            <w:r w:rsidR="006B586B">
              <w:rPr>
                <w:rFonts w:ascii="Arial" w:hAnsi="Arial" w:cs="Arial"/>
                <w:sz w:val="20"/>
                <w:szCs w:val="20"/>
              </w:rPr>
              <w:t xml:space="preserve"> for details</w:t>
            </w:r>
            <w:r w:rsidRPr="004601DB">
              <w:rPr>
                <w:rFonts w:ascii="Arial" w:hAnsi="Arial" w:cs="Arial"/>
                <w:sz w:val="20"/>
                <w:szCs w:val="20"/>
              </w:rPr>
              <w:t xml:space="preserve">.  </w:t>
            </w:r>
          </w:p>
          <w:p w:rsidR="001140F4" w:rsidRPr="006F12C5" w:rsidRDefault="001140F4" w:rsidP="000E2E2F">
            <w:pPr>
              <w:rPr>
                <w:rFonts w:ascii="Arial" w:hAnsi="Arial" w:cs="Arial"/>
                <w:sz w:val="20"/>
                <w:szCs w:val="20"/>
              </w:rPr>
            </w:pPr>
          </w:p>
        </w:tc>
        <w:tc>
          <w:tcPr>
            <w:tcW w:w="4752" w:type="dxa"/>
            <w:shd w:val="clear" w:color="auto" w:fill="auto"/>
          </w:tcPr>
          <w:p w:rsidR="001140F4" w:rsidRDefault="001140F4" w:rsidP="000E2E2F">
            <w:pPr>
              <w:rPr>
                <w:rFonts w:ascii="Arial" w:hAnsi="Arial" w:cs="Arial"/>
                <w:sz w:val="20"/>
                <w:szCs w:val="20"/>
              </w:rPr>
            </w:pPr>
          </w:p>
          <w:p w:rsidR="006B586B" w:rsidRDefault="006B586B" w:rsidP="000E2E2F">
            <w:pPr>
              <w:rPr>
                <w:rFonts w:ascii="Arial" w:hAnsi="Arial" w:cs="Arial"/>
                <w:sz w:val="20"/>
                <w:szCs w:val="20"/>
              </w:rPr>
            </w:pPr>
          </w:p>
          <w:p w:rsidR="006B586B" w:rsidRDefault="006B586B" w:rsidP="000E2E2F">
            <w:pPr>
              <w:rPr>
                <w:rFonts w:ascii="Arial" w:hAnsi="Arial" w:cs="Arial"/>
                <w:sz w:val="20"/>
                <w:szCs w:val="20"/>
              </w:rPr>
            </w:pPr>
            <w:r>
              <w:rPr>
                <w:rFonts w:ascii="Arial" w:hAnsi="Arial" w:cs="Arial"/>
                <w:sz w:val="20"/>
                <w:szCs w:val="20"/>
              </w:rPr>
              <w:t>A&amp;AS supports the co</w:t>
            </w:r>
            <w:r w:rsidR="00475BD7">
              <w:rPr>
                <w:rFonts w:ascii="Arial" w:hAnsi="Arial" w:cs="Arial"/>
                <w:sz w:val="20"/>
                <w:szCs w:val="20"/>
              </w:rPr>
              <w:t>ntinued efforts of Procurement</w:t>
            </w:r>
            <w:r>
              <w:rPr>
                <w:rFonts w:ascii="Arial" w:hAnsi="Arial" w:cs="Arial"/>
                <w:sz w:val="20"/>
                <w:szCs w:val="20"/>
              </w:rPr>
              <w:t xml:space="preserve"> to ensure that </w:t>
            </w:r>
            <w:r w:rsidR="00D15091" w:rsidRPr="004601DB">
              <w:rPr>
                <w:rFonts w:ascii="Arial" w:hAnsi="Arial" w:cs="Arial"/>
                <w:sz w:val="20"/>
                <w:szCs w:val="20"/>
              </w:rPr>
              <w:t>the UC Fair Wage/Fair Work Independent Accountant/Int</w:t>
            </w:r>
            <w:r w:rsidR="00D15091">
              <w:rPr>
                <w:rFonts w:ascii="Arial" w:hAnsi="Arial" w:cs="Arial"/>
                <w:sz w:val="20"/>
                <w:szCs w:val="20"/>
              </w:rPr>
              <w:t>ernal Auditor Verification form</w:t>
            </w:r>
            <w:r w:rsidR="00D15091" w:rsidRPr="004601DB">
              <w:rPr>
                <w:rFonts w:ascii="Arial" w:hAnsi="Arial" w:cs="Arial"/>
                <w:sz w:val="20"/>
                <w:szCs w:val="20"/>
              </w:rPr>
              <w:t xml:space="preserve"> </w:t>
            </w:r>
            <w:r w:rsidR="00D15091">
              <w:rPr>
                <w:rFonts w:ascii="Arial" w:hAnsi="Arial" w:cs="Arial"/>
                <w:sz w:val="20"/>
                <w:szCs w:val="20"/>
              </w:rPr>
              <w:t xml:space="preserve">is sent to the remaining vendors with contracts with an annual service spend exceeding $100,000 and that completed forms are received from all </w:t>
            </w:r>
            <w:r w:rsidR="004E36C5">
              <w:rPr>
                <w:rFonts w:ascii="Arial" w:hAnsi="Arial" w:cs="Arial"/>
                <w:sz w:val="20"/>
                <w:szCs w:val="20"/>
              </w:rPr>
              <w:t xml:space="preserve">the relevant </w:t>
            </w:r>
            <w:r w:rsidR="00D15091">
              <w:rPr>
                <w:rFonts w:ascii="Arial" w:hAnsi="Arial" w:cs="Arial"/>
                <w:sz w:val="20"/>
                <w:szCs w:val="20"/>
              </w:rPr>
              <w:t xml:space="preserve">vendors.  </w:t>
            </w:r>
          </w:p>
          <w:p w:rsidR="00D15091" w:rsidRDefault="00D15091" w:rsidP="000E2E2F">
            <w:pPr>
              <w:rPr>
                <w:rFonts w:ascii="Arial" w:hAnsi="Arial" w:cs="Arial"/>
                <w:sz w:val="20"/>
                <w:szCs w:val="20"/>
              </w:rPr>
            </w:pPr>
          </w:p>
          <w:p w:rsidR="006B586B" w:rsidRPr="006F12C5" w:rsidRDefault="00475BD7" w:rsidP="00F66F82">
            <w:pPr>
              <w:rPr>
                <w:rFonts w:ascii="Arial" w:hAnsi="Arial" w:cs="Arial"/>
                <w:sz w:val="20"/>
                <w:szCs w:val="20"/>
              </w:rPr>
            </w:pPr>
            <w:r w:rsidRPr="00475BD7">
              <w:rPr>
                <w:rFonts w:ascii="Arial" w:hAnsi="Arial" w:cs="Arial"/>
                <w:sz w:val="20"/>
                <w:szCs w:val="20"/>
              </w:rPr>
              <w:t>If a vendor is unresponsive, management should determine whether the contract should be cancelled with the vendor or whether the vendor should be granted an exemption from the FW/FW requirements to allow the contract to continue.  If the latter, management should assure that proper documentation and approvals are completed.</w:t>
            </w:r>
            <w:r>
              <w:rPr>
                <w:rFonts w:ascii="Arial" w:hAnsi="Arial" w:cs="Arial"/>
                <w:sz w:val="20"/>
                <w:szCs w:val="20"/>
              </w:rPr>
              <w:t xml:space="preserve">  </w:t>
            </w:r>
          </w:p>
        </w:tc>
        <w:tc>
          <w:tcPr>
            <w:tcW w:w="4753" w:type="dxa"/>
          </w:tcPr>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r w:rsidRPr="009A202D">
              <w:rPr>
                <w:rFonts w:ascii="Arial" w:hAnsi="Arial" w:cs="Arial"/>
                <w:sz w:val="20"/>
                <w:szCs w:val="20"/>
              </w:rPr>
              <w:t>As stated above in Item #2, the total number of potential FW/FW agreements increased to 240.  The new total did not change the number of required FW/FW audits</w:t>
            </w:r>
            <w:r>
              <w:rPr>
                <w:rFonts w:ascii="Arial" w:hAnsi="Arial" w:cs="Arial"/>
                <w:sz w:val="20"/>
                <w:szCs w:val="20"/>
              </w:rPr>
              <w:t xml:space="preserve"> (32)</w:t>
            </w:r>
            <w:r w:rsidRPr="009A202D">
              <w:rPr>
                <w:rFonts w:ascii="Arial" w:hAnsi="Arial" w:cs="Arial"/>
                <w:sz w:val="20"/>
                <w:szCs w:val="20"/>
              </w:rPr>
              <w:t xml:space="preserve">.  </w:t>
            </w:r>
          </w:p>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r w:rsidRPr="009A202D">
              <w:rPr>
                <w:rFonts w:ascii="Arial" w:hAnsi="Arial" w:cs="Arial"/>
                <w:sz w:val="20"/>
                <w:szCs w:val="20"/>
              </w:rPr>
              <w:t xml:space="preserve">As of </w:t>
            </w:r>
            <w:r w:rsidR="00F40C23">
              <w:rPr>
                <w:rFonts w:ascii="Arial" w:hAnsi="Arial" w:cs="Arial"/>
                <w:sz w:val="20"/>
                <w:szCs w:val="20"/>
              </w:rPr>
              <w:t xml:space="preserve">this response </w:t>
            </w:r>
            <w:r w:rsidRPr="009A202D">
              <w:rPr>
                <w:rFonts w:ascii="Arial" w:hAnsi="Arial" w:cs="Arial"/>
                <w:sz w:val="20"/>
                <w:szCs w:val="20"/>
              </w:rPr>
              <w:t>date</w:t>
            </w:r>
            <w:r w:rsidR="00F40C23">
              <w:rPr>
                <w:rFonts w:ascii="Arial" w:hAnsi="Arial" w:cs="Arial"/>
                <w:sz w:val="20"/>
                <w:szCs w:val="20"/>
              </w:rPr>
              <w:t>,</w:t>
            </w:r>
            <w:r w:rsidRPr="009A202D">
              <w:rPr>
                <w:rFonts w:ascii="Arial" w:hAnsi="Arial" w:cs="Arial"/>
                <w:sz w:val="20"/>
                <w:szCs w:val="20"/>
              </w:rPr>
              <w:t xml:space="preserve"> only one audit has been returned.  </w:t>
            </w:r>
          </w:p>
          <w:p w:rsidR="009A202D" w:rsidRPr="009A202D" w:rsidRDefault="009A202D" w:rsidP="009A202D">
            <w:pPr>
              <w:rPr>
                <w:rFonts w:ascii="Arial" w:hAnsi="Arial" w:cs="Arial"/>
                <w:sz w:val="20"/>
                <w:szCs w:val="20"/>
              </w:rPr>
            </w:pPr>
          </w:p>
          <w:p w:rsidR="001140F4" w:rsidRPr="003B3F76" w:rsidRDefault="009A202D" w:rsidP="00F40C23">
            <w:pPr>
              <w:rPr>
                <w:rFonts w:ascii="Arial" w:hAnsi="Arial" w:cs="Arial"/>
                <w:sz w:val="20"/>
                <w:szCs w:val="20"/>
              </w:rPr>
            </w:pPr>
            <w:r w:rsidRPr="009A202D">
              <w:rPr>
                <w:rFonts w:ascii="Arial" w:hAnsi="Arial" w:cs="Arial"/>
                <w:sz w:val="20"/>
                <w:szCs w:val="20"/>
              </w:rPr>
              <w:t>Follow-up contact has been made for all outstanding audits.  Procurement has determined that it will send out two reminders</w:t>
            </w:r>
            <w:r w:rsidR="00F40C23">
              <w:rPr>
                <w:rFonts w:ascii="Arial" w:hAnsi="Arial" w:cs="Arial"/>
                <w:sz w:val="20"/>
                <w:szCs w:val="20"/>
              </w:rPr>
              <w:t>,</w:t>
            </w:r>
            <w:r w:rsidRPr="009A202D">
              <w:rPr>
                <w:rFonts w:ascii="Arial" w:hAnsi="Arial" w:cs="Arial"/>
                <w:sz w:val="20"/>
                <w:szCs w:val="20"/>
              </w:rPr>
              <w:t xml:space="preserve"> and </w:t>
            </w:r>
            <w:r w:rsidR="00F40C23">
              <w:rPr>
                <w:rFonts w:ascii="Arial" w:hAnsi="Arial" w:cs="Arial"/>
                <w:sz w:val="20"/>
                <w:szCs w:val="20"/>
              </w:rPr>
              <w:t>a</w:t>
            </w:r>
            <w:r w:rsidR="00F40C23" w:rsidRPr="009A202D">
              <w:rPr>
                <w:rFonts w:ascii="Arial" w:hAnsi="Arial" w:cs="Arial"/>
                <w:sz w:val="20"/>
                <w:szCs w:val="20"/>
              </w:rPr>
              <w:t xml:space="preserve"> </w:t>
            </w:r>
            <w:r w:rsidRPr="009A202D">
              <w:rPr>
                <w:rFonts w:ascii="Arial" w:hAnsi="Arial" w:cs="Arial"/>
                <w:sz w:val="20"/>
                <w:szCs w:val="20"/>
              </w:rPr>
              <w:t xml:space="preserve">third reminder will put the vendor on notice of cancellation for failure to respond.  </w:t>
            </w:r>
          </w:p>
        </w:tc>
      </w:tr>
      <w:tr w:rsidR="001140F4" w:rsidRPr="00D46068" w:rsidTr="000E2E2F">
        <w:trPr>
          <w:jc w:val="center"/>
        </w:trPr>
        <w:tc>
          <w:tcPr>
            <w:tcW w:w="467" w:type="dxa"/>
          </w:tcPr>
          <w:p w:rsidR="001140F4" w:rsidRDefault="001140F4" w:rsidP="000E2E2F">
            <w:pPr>
              <w:jc w:val="center"/>
              <w:rPr>
                <w:rFonts w:ascii="Arial" w:hAnsi="Arial" w:cs="Arial"/>
                <w:sz w:val="20"/>
                <w:szCs w:val="20"/>
              </w:rPr>
            </w:pPr>
            <w:r>
              <w:rPr>
                <w:rFonts w:ascii="Arial" w:hAnsi="Arial" w:cs="Arial"/>
                <w:sz w:val="20"/>
                <w:szCs w:val="20"/>
              </w:rPr>
              <w:t>4</w:t>
            </w:r>
          </w:p>
        </w:tc>
        <w:tc>
          <w:tcPr>
            <w:tcW w:w="4752" w:type="dxa"/>
            <w:shd w:val="clear" w:color="auto" w:fill="auto"/>
          </w:tcPr>
          <w:p w:rsidR="001140F4" w:rsidRPr="001140F4" w:rsidRDefault="001140F4" w:rsidP="00147F07">
            <w:pPr>
              <w:keepNext/>
              <w:rPr>
                <w:rFonts w:ascii="Arial" w:hAnsi="Arial" w:cs="Arial"/>
                <w:sz w:val="20"/>
                <w:szCs w:val="20"/>
                <w:u w:val="single"/>
              </w:rPr>
            </w:pPr>
            <w:r>
              <w:rPr>
                <w:rFonts w:ascii="Arial" w:hAnsi="Arial" w:cs="Arial"/>
                <w:sz w:val="20"/>
                <w:szCs w:val="20"/>
                <w:u w:val="single"/>
              </w:rPr>
              <w:t>FW/FW Exemptions</w:t>
            </w:r>
          </w:p>
          <w:p w:rsidR="001140F4" w:rsidRDefault="001140F4" w:rsidP="00147F07">
            <w:pPr>
              <w:keepNext/>
              <w:rPr>
                <w:rFonts w:ascii="Arial" w:hAnsi="Arial" w:cs="Arial"/>
                <w:sz w:val="20"/>
                <w:szCs w:val="20"/>
              </w:rPr>
            </w:pPr>
          </w:p>
          <w:p w:rsidR="006B586B" w:rsidRDefault="001140F4" w:rsidP="000E2E2F">
            <w:pPr>
              <w:rPr>
                <w:rFonts w:ascii="Arial" w:hAnsi="Arial" w:cs="Arial"/>
                <w:sz w:val="20"/>
                <w:szCs w:val="20"/>
              </w:rPr>
            </w:pPr>
            <w:r w:rsidRPr="001140F4">
              <w:rPr>
                <w:rFonts w:ascii="Arial" w:hAnsi="Arial" w:cs="Arial"/>
                <w:sz w:val="20"/>
                <w:szCs w:val="20"/>
              </w:rPr>
              <w:t>Management has not yet granted any form</w:t>
            </w:r>
            <w:r w:rsidR="00F66F82">
              <w:rPr>
                <w:rFonts w:ascii="Arial" w:hAnsi="Arial" w:cs="Arial"/>
                <w:sz w:val="20"/>
                <w:szCs w:val="20"/>
              </w:rPr>
              <w:t>al exemptions to the FW/FW plan</w:t>
            </w:r>
            <w:r w:rsidRPr="001140F4">
              <w:rPr>
                <w:rFonts w:ascii="Arial" w:hAnsi="Arial" w:cs="Arial"/>
                <w:sz w:val="20"/>
                <w:szCs w:val="20"/>
              </w:rPr>
              <w:t xml:space="preserve"> but has indicated that they would use the standard template</w:t>
            </w:r>
            <w:r w:rsidR="00D15091">
              <w:rPr>
                <w:rFonts w:ascii="Arial" w:hAnsi="Arial" w:cs="Arial"/>
                <w:sz w:val="20"/>
                <w:szCs w:val="20"/>
              </w:rPr>
              <w:t>s</w:t>
            </w:r>
            <w:r w:rsidRPr="001140F4">
              <w:rPr>
                <w:rFonts w:ascii="Arial" w:hAnsi="Arial" w:cs="Arial"/>
                <w:sz w:val="20"/>
                <w:szCs w:val="20"/>
              </w:rPr>
              <w:t xml:space="preserve"> available at the UCOP Procurement Services website</w:t>
            </w:r>
            <w:r w:rsidR="006B586B">
              <w:rPr>
                <w:rFonts w:ascii="Arial" w:hAnsi="Arial" w:cs="Arial"/>
                <w:sz w:val="20"/>
                <w:szCs w:val="20"/>
              </w:rPr>
              <w:t xml:space="preserve"> (</w:t>
            </w:r>
            <w:r w:rsidR="00D15091" w:rsidRPr="00D15091">
              <w:rPr>
                <w:rFonts w:ascii="Arial" w:hAnsi="Arial" w:cs="Arial"/>
                <w:sz w:val="20"/>
                <w:szCs w:val="20"/>
              </w:rPr>
              <w:t>https://ucop.edu/procurement-services/policies-forms/fw-fw-ppaca-resources/fwfw-exception-template.docx</w:t>
            </w:r>
            <w:r w:rsidR="00D15091">
              <w:rPr>
                <w:rFonts w:ascii="Arial" w:hAnsi="Arial" w:cs="Arial"/>
                <w:sz w:val="20"/>
                <w:szCs w:val="20"/>
              </w:rPr>
              <w:t xml:space="preserve">; </w:t>
            </w:r>
            <w:r w:rsidR="00D15091" w:rsidRPr="00D15091">
              <w:rPr>
                <w:rFonts w:ascii="Arial" w:hAnsi="Arial" w:cs="Arial"/>
                <w:sz w:val="20"/>
                <w:szCs w:val="20"/>
              </w:rPr>
              <w:t>https://ucop.edu/procurement-services/policies-forms/fw-fw-ppaca-resources/fwfw-after-the-fact-exception-template.docx</w:t>
            </w:r>
            <w:r w:rsidR="006B586B">
              <w:rPr>
                <w:rFonts w:ascii="Arial" w:hAnsi="Arial" w:cs="Arial"/>
                <w:sz w:val="20"/>
                <w:szCs w:val="20"/>
              </w:rPr>
              <w:t xml:space="preserve">) to document such exemptions.  </w:t>
            </w:r>
          </w:p>
          <w:p w:rsidR="00C9686D" w:rsidRDefault="00C9686D" w:rsidP="003B3F76">
            <w:pPr>
              <w:rPr>
                <w:rFonts w:ascii="Arial" w:hAnsi="Arial" w:cs="Arial"/>
                <w:sz w:val="20"/>
                <w:szCs w:val="20"/>
              </w:rPr>
            </w:pPr>
          </w:p>
          <w:p w:rsidR="003B3F76" w:rsidRPr="006F12C5" w:rsidRDefault="003B3F76" w:rsidP="003B3F76">
            <w:pPr>
              <w:rPr>
                <w:rFonts w:ascii="Arial" w:hAnsi="Arial" w:cs="Arial"/>
                <w:sz w:val="20"/>
                <w:szCs w:val="20"/>
              </w:rPr>
            </w:pPr>
            <w:r w:rsidRPr="006F12C5">
              <w:rPr>
                <w:rFonts w:ascii="Arial" w:hAnsi="Arial" w:cs="Arial"/>
                <w:sz w:val="20"/>
                <w:szCs w:val="20"/>
              </w:rPr>
              <w:t>___________________</w:t>
            </w:r>
          </w:p>
          <w:p w:rsidR="003B3F76" w:rsidRPr="006F12C5" w:rsidRDefault="003B3F76" w:rsidP="003B3F76">
            <w:pPr>
              <w:rPr>
                <w:rFonts w:ascii="Arial" w:hAnsi="Arial" w:cs="Arial"/>
                <w:sz w:val="16"/>
                <w:szCs w:val="16"/>
              </w:rPr>
            </w:pPr>
            <w:r w:rsidRPr="006F12C5">
              <w:rPr>
                <w:rFonts w:ascii="Arial" w:hAnsi="Arial" w:cs="Arial"/>
                <w:b/>
                <w:sz w:val="16"/>
                <w:szCs w:val="16"/>
              </w:rPr>
              <w:t>Criteria:</w:t>
            </w:r>
            <w:r w:rsidRPr="006F12C5">
              <w:rPr>
                <w:rFonts w:ascii="Arial" w:hAnsi="Arial" w:cs="Arial"/>
                <w:sz w:val="16"/>
                <w:szCs w:val="16"/>
              </w:rPr>
              <w:t xml:space="preserve">  </w:t>
            </w:r>
          </w:p>
          <w:p w:rsidR="003B3F76" w:rsidRDefault="003B3F76" w:rsidP="000E2E2F">
            <w:pPr>
              <w:rPr>
                <w:rFonts w:ascii="Arial" w:hAnsi="Arial" w:cs="Arial"/>
                <w:sz w:val="20"/>
                <w:szCs w:val="20"/>
              </w:rPr>
            </w:pPr>
            <w:r w:rsidRPr="004601DB">
              <w:rPr>
                <w:rFonts w:ascii="Arial" w:hAnsi="Arial" w:cs="Arial"/>
                <w:sz w:val="16"/>
                <w:szCs w:val="16"/>
              </w:rPr>
              <w:t>BUS-43, III, Part 1, E.1.d.ii</w:t>
            </w:r>
            <w:r>
              <w:rPr>
                <w:rFonts w:ascii="Arial" w:hAnsi="Arial" w:cs="Arial"/>
                <w:sz w:val="16"/>
                <w:szCs w:val="16"/>
              </w:rPr>
              <w:t>i</w:t>
            </w:r>
            <w:r w:rsidRPr="004601DB">
              <w:rPr>
                <w:rFonts w:ascii="Arial" w:hAnsi="Arial" w:cs="Arial"/>
                <w:sz w:val="16"/>
                <w:szCs w:val="16"/>
              </w:rPr>
              <w:t xml:space="preserve">. [Fair Wage/Fair Work] </w:t>
            </w:r>
            <w:r w:rsidRPr="003B3F76">
              <w:rPr>
                <w:rFonts w:ascii="Arial" w:hAnsi="Arial" w:cs="Arial"/>
                <w:sz w:val="16"/>
                <w:szCs w:val="16"/>
              </w:rPr>
              <w:t xml:space="preserve">Exceptions: </w:t>
            </w:r>
            <w:r>
              <w:rPr>
                <w:rFonts w:ascii="Arial" w:hAnsi="Arial" w:cs="Arial"/>
                <w:sz w:val="16"/>
                <w:szCs w:val="16"/>
              </w:rPr>
              <w:t xml:space="preserve"> </w:t>
            </w:r>
            <w:r w:rsidRPr="003B3F76">
              <w:rPr>
                <w:rFonts w:ascii="Arial" w:hAnsi="Arial" w:cs="Arial"/>
                <w:sz w:val="16"/>
                <w:szCs w:val="16"/>
              </w:rPr>
              <w:t>Any exceptions to this Policy must be approved by the</w:t>
            </w:r>
            <w:r>
              <w:rPr>
                <w:rFonts w:ascii="Arial" w:hAnsi="Arial" w:cs="Arial"/>
                <w:sz w:val="16"/>
                <w:szCs w:val="16"/>
              </w:rPr>
              <w:t xml:space="preserve"> </w:t>
            </w:r>
            <w:r w:rsidRPr="003B3F76">
              <w:rPr>
                <w:rFonts w:ascii="Arial" w:hAnsi="Arial" w:cs="Arial"/>
                <w:sz w:val="16"/>
                <w:szCs w:val="16"/>
              </w:rPr>
              <w:t>Policy Exception Authority. The Fair Wage/Fair Work provision does not</w:t>
            </w:r>
            <w:r>
              <w:rPr>
                <w:rFonts w:ascii="Arial" w:hAnsi="Arial" w:cs="Arial"/>
                <w:sz w:val="16"/>
                <w:szCs w:val="16"/>
              </w:rPr>
              <w:t xml:space="preserve"> </w:t>
            </w:r>
            <w:r w:rsidRPr="003B3F76">
              <w:rPr>
                <w:rFonts w:ascii="Arial" w:hAnsi="Arial" w:cs="Arial"/>
                <w:sz w:val="16"/>
                <w:szCs w:val="16"/>
              </w:rPr>
              <w:t>allow any exceptions after a contract has been signed with the sole case</w:t>
            </w:r>
            <w:r>
              <w:rPr>
                <w:rFonts w:ascii="Arial" w:hAnsi="Arial" w:cs="Arial"/>
                <w:sz w:val="16"/>
                <w:szCs w:val="16"/>
              </w:rPr>
              <w:t xml:space="preserve"> </w:t>
            </w:r>
            <w:r w:rsidRPr="003B3F76">
              <w:rPr>
                <w:rFonts w:ascii="Arial" w:hAnsi="Arial" w:cs="Arial"/>
                <w:sz w:val="16"/>
                <w:szCs w:val="16"/>
              </w:rPr>
              <w:t>of when UC determines there is no other alternative provider within the</w:t>
            </w:r>
            <w:r>
              <w:rPr>
                <w:rFonts w:ascii="Arial" w:hAnsi="Arial" w:cs="Arial"/>
                <w:sz w:val="16"/>
                <w:szCs w:val="16"/>
              </w:rPr>
              <w:t xml:space="preserve"> </w:t>
            </w:r>
            <w:r w:rsidRPr="003B3F76">
              <w:rPr>
                <w:rFonts w:ascii="Arial" w:hAnsi="Arial" w:cs="Arial"/>
                <w:sz w:val="16"/>
                <w:szCs w:val="16"/>
              </w:rPr>
              <w:t>required time frame. In such cases the Policy Exception Authority must</w:t>
            </w:r>
            <w:r>
              <w:rPr>
                <w:rFonts w:ascii="Arial" w:hAnsi="Arial" w:cs="Arial"/>
                <w:sz w:val="16"/>
                <w:szCs w:val="16"/>
              </w:rPr>
              <w:t xml:space="preserve"> </w:t>
            </w:r>
            <w:r w:rsidRPr="003B3F76">
              <w:rPr>
                <w:rFonts w:ascii="Arial" w:hAnsi="Arial" w:cs="Arial"/>
                <w:sz w:val="16"/>
                <w:szCs w:val="16"/>
              </w:rPr>
              <w:t>document such approval in writing.</w:t>
            </w:r>
            <w:r>
              <w:rPr>
                <w:rFonts w:ascii="Arial" w:hAnsi="Arial" w:cs="Arial"/>
                <w:sz w:val="16"/>
                <w:szCs w:val="16"/>
              </w:rPr>
              <w:t xml:space="preserve">  </w:t>
            </w:r>
          </w:p>
          <w:p w:rsidR="001140F4" w:rsidRPr="006F12C5" w:rsidRDefault="001140F4" w:rsidP="000E2E2F">
            <w:pPr>
              <w:rPr>
                <w:rFonts w:ascii="Arial" w:hAnsi="Arial" w:cs="Arial"/>
                <w:sz w:val="20"/>
                <w:szCs w:val="20"/>
              </w:rPr>
            </w:pPr>
          </w:p>
        </w:tc>
        <w:tc>
          <w:tcPr>
            <w:tcW w:w="4752" w:type="dxa"/>
            <w:shd w:val="clear" w:color="auto" w:fill="auto"/>
          </w:tcPr>
          <w:p w:rsidR="001140F4" w:rsidRDefault="001140F4" w:rsidP="000E2E2F">
            <w:pPr>
              <w:rPr>
                <w:rFonts w:ascii="Arial" w:hAnsi="Arial" w:cs="Arial"/>
                <w:sz w:val="20"/>
                <w:szCs w:val="20"/>
              </w:rPr>
            </w:pPr>
          </w:p>
          <w:p w:rsidR="00DF1817" w:rsidRDefault="00DF1817" w:rsidP="000E2E2F">
            <w:pPr>
              <w:rPr>
                <w:rFonts w:ascii="Arial" w:hAnsi="Arial" w:cs="Arial"/>
                <w:sz w:val="20"/>
                <w:szCs w:val="20"/>
              </w:rPr>
            </w:pPr>
          </w:p>
          <w:p w:rsidR="001140F4" w:rsidRPr="006F12C5" w:rsidRDefault="00F66F82" w:rsidP="000E2E2F">
            <w:pPr>
              <w:rPr>
                <w:rFonts w:ascii="Arial" w:hAnsi="Arial" w:cs="Arial"/>
                <w:sz w:val="20"/>
                <w:szCs w:val="20"/>
              </w:rPr>
            </w:pPr>
            <w:r>
              <w:rPr>
                <w:rFonts w:ascii="Arial" w:hAnsi="Arial" w:cs="Arial"/>
                <w:sz w:val="20"/>
                <w:szCs w:val="20"/>
              </w:rPr>
              <w:t>M</w:t>
            </w:r>
            <w:r w:rsidR="001140F4" w:rsidRPr="001140F4">
              <w:rPr>
                <w:rFonts w:ascii="Arial" w:hAnsi="Arial" w:cs="Arial"/>
                <w:sz w:val="20"/>
                <w:szCs w:val="20"/>
              </w:rPr>
              <w:t xml:space="preserve">anagement should assure that proper documentation and approvals are completed for any vendor that is granted an exemption from the FW/FW requirements.  </w:t>
            </w:r>
          </w:p>
        </w:tc>
        <w:tc>
          <w:tcPr>
            <w:tcW w:w="4753" w:type="dxa"/>
          </w:tcPr>
          <w:p w:rsidR="009A202D" w:rsidRPr="009A202D" w:rsidRDefault="009A202D" w:rsidP="009A202D">
            <w:pPr>
              <w:rPr>
                <w:rFonts w:ascii="Arial" w:hAnsi="Arial" w:cs="Arial"/>
                <w:sz w:val="20"/>
                <w:szCs w:val="20"/>
              </w:rPr>
            </w:pPr>
          </w:p>
          <w:p w:rsidR="009A202D" w:rsidRPr="009A202D" w:rsidRDefault="009A202D" w:rsidP="009A202D">
            <w:pPr>
              <w:rPr>
                <w:rFonts w:ascii="Arial" w:hAnsi="Arial" w:cs="Arial"/>
                <w:sz w:val="20"/>
                <w:szCs w:val="20"/>
              </w:rPr>
            </w:pPr>
          </w:p>
          <w:p w:rsidR="001140F4" w:rsidRDefault="009A202D" w:rsidP="009A202D">
            <w:pPr>
              <w:rPr>
                <w:rFonts w:ascii="Arial" w:hAnsi="Arial" w:cs="Arial"/>
                <w:sz w:val="20"/>
                <w:szCs w:val="20"/>
              </w:rPr>
            </w:pPr>
            <w:r w:rsidRPr="009A202D">
              <w:rPr>
                <w:rFonts w:ascii="Arial" w:hAnsi="Arial" w:cs="Arial"/>
                <w:sz w:val="20"/>
                <w:szCs w:val="20"/>
              </w:rPr>
              <w:t xml:space="preserve">Agree.  As of </w:t>
            </w:r>
            <w:r w:rsidR="00F40C23">
              <w:rPr>
                <w:rFonts w:ascii="Arial" w:hAnsi="Arial" w:cs="Arial"/>
                <w:sz w:val="20"/>
                <w:szCs w:val="20"/>
              </w:rPr>
              <w:t xml:space="preserve">this response </w:t>
            </w:r>
            <w:r w:rsidRPr="009A202D">
              <w:rPr>
                <w:rFonts w:ascii="Arial" w:hAnsi="Arial" w:cs="Arial"/>
                <w:sz w:val="20"/>
                <w:szCs w:val="20"/>
              </w:rPr>
              <w:t xml:space="preserve">date, no FW/FW exemptions have been approved.  </w:t>
            </w:r>
          </w:p>
          <w:p w:rsidR="009A202D" w:rsidRDefault="009A202D" w:rsidP="009A202D">
            <w:pPr>
              <w:rPr>
                <w:rFonts w:ascii="Arial" w:hAnsi="Arial" w:cs="Arial"/>
                <w:sz w:val="20"/>
                <w:szCs w:val="20"/>
              </w:rPr>
            </w:pPr>
          </w:p>
          <w:p w:rsidR="009A202D" w:rsidRPr="00FE78FC" w:rsidRDefault="009A202D" w:rsidP="009A202D">
            <w:pPr>
              <w:rPr>
                <w:rFonts w:ascii="Arial" w:hAnsi="Arial" w:cs="Arial"/>
                <w:sz w:val="20"/>
                <w:szCs w:val="20"/>
              </w:rPr>
            </w:pPr>
          </w:p>
        </w:tc>
      </w:tr>
    </w:tbl>
    <w:p w:rsidR="001140F4" w:rsidRPr="002E0AC9" w:rsidRDefault="001140F4" w:rsidP="00583BC9">
      <w:pPr>
        <w:ind w:left="-900"/>
        <w:rPr>
          <w:rFonts w:ascii="Arial" w:hAnsi="Arial" w:cs="Arial"/>
        </w:rPr>
      </w:pPr>
    </w:p>
    <w:p w:rsidR="00583BC9" w:rsidRPr="00583BC9" w:rsidRDefault="002E0AC9" w:rsidP="00583BC9">
      <w:pPr>
        <w:ind w:left="-900"/>
        <w:rPr>
          <w:rFonts w:ascii="Arial" w:hAnsi="Arial" w:cs="Arial"/>
          <w:sz w:val="16"/>
          <w:szCs w:val="16"/>
        </w:rPr>
      </w:pPr>
      <w:r>
        <w:rPr>
          <w:rFonts w:ascii="Arial" w:hAnsi="Arial" w:cs="Arial"/>
          <w:sz w:val="16"/>
          <w:szCs w:val="16"/>
        </w:rPr>
        <w:t>19</w:t>
      </w:r>
      <w:r w:rsidR="00583BC9" w:rsidRPr="00583BC9">
        <w:rPr>
          <w:rFonts w:ascii="Arial" w:hAnsi="Arial" w:cs="Arial"/>
          <w:sz w:val="16"/>
          <w:szCs w:val="16"/>
        </w:rPr>
        <w:t>06</w:t>
      </w:r>
      <w:r w:rsidR="00C9686D">
        <w:rPr>
          <w:rFonts w:ascii="Arial" w:hAnsi="Arial" w:cs="Arial"/>
          <w:sz w:val="16"/>
          <w:szCs w:val="16"/>
        </w:rPr>
        <w:t>27-3</w:t>
      </w:r>
    </w:p>
    <w:p w:rsidR="008A596D" w:rsidRPr="00C071CD" w:rsidRDefault="00583BC9" w:rsidP="00C071CD">
      <w:pPr>
        <w:ind w:left="-900"/>
        <w:rPr>
          <w:rFonts w:ascii="Arial" w:hAnsi="Arial" w:cs="Arial"/>
          <w:sz w:val="16"/>
          <w:szCs w:val="16"/>
        </w:rPr>
      </w:pPr>
      <w:r w:rsidRPr="00583BC9">
        <w:rPr>
          <w:rFonts w:ascii="Arial" w:hAnsi="Arial" w:cs="Arial"/>
          <w:sz w:val="16"/>
          <w:szCs w:val="16"/>
        </w:rPr>
        <w:t>REP</w:t>
      </w:r>
      <w:bookmarkStart w:id="0" w:name="_GoBack"/>
      <w:bookmarkEnd w:id="0"/>
    </w:p>
    <w:sectPr w:rsidR="008A596D" w:rsidRPr="00C071CD" w:rsidSect="00C9686D">
      <w:footerReference w:type="default" r:id="rId8"/>
      <w:pgSz w:w="15840" w:h="12240" w:orient="landscape"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92B" w:rsidRDefault="0048692B">
      <w:r>
        <w:separator/>
      </w:r>
    </w:p>
  </w:endnote>
  <w:endnote w:type="continuationSeparator" w:id="0">
    <w:p w:rsidR="0048692B" w:rsidRDefault="0048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B" w:rsidRPr="00743E49" w:rsidRDefault="0048692B" w:rsidP="0048692B">
    <w:pPr>
      <w:pStyle w:val="Footer"/>
      <w:framePr w:wrap="around" w:vAnchor="text" w:hAnchor="margin" w:xAlign="center" w:y="1"/>
      <w:rPr>
        <w:rStyle w:val="PageNumber"/>
      </w:rPr>
    </w:pPr>
    <w:r w:rsidRPr="00743E49">
      <w:rPr>
        <w:rStyle w:val="PageNumber"/>
      </w:rPr>
      <w:fldChar w:fldCharType="begin"/>
    </w:r>
    <w:r w:rsidRPr="00743E49">
      <w:rPr>
        <w:rStyle w:val="PageNumber"/>
      </w:rPr>
      <w:instrText xml:space="preserve">PAGE  </w:instrText>
    </w:r>
    <w:r w:rsidRPr="00743E49">
      <w:rPr>
        <w:rStyle w:val="PageNumber"/>
      </w:rPr>
      <w:fldChar w:fldCharType="separate"/>
    </w:r>
    <w:r w:rsidR="009A202D">
      <w:rPr>
        <w:rStyle w:val="PageNumber"/>
        <w:noProof/>
      </w:rPr>
      <w:t>2</w:t>
    </w:r>
    <w:r w:rsidRPr="00743E49">
      <w:rPr>
        <w:rStyle w:val="PageNumber"/>
      </w:rPr>
      <w:fldChar w:fldCharType="end"/>
    </w:r>
  </w:p>
  <w:p w:rsidR="0048692B" w:rsidRDefault="0048692B" w:rsidP="00486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92B" w:rsidRPr="00C9686D" w:rsidRDefault="0048692B" w:rsidP="0048692B">
    <w:pPr>
      <w:pStyle w:val="Footer"/>
      <w:framePr w:wrap="around" w:vAnchor="text" w:hAnchor="margin" w:xAlign="center" w:y="1"/>
      <w:rPr>
        <w:rStyle w:val="PageNumber"/>
        <w:rFonts w:ascii="Arial" w:hAnsi="Arial" w:cs="Arial"/>
        <w:sz w:val="24"/>
        <w:szCs w:val="24"/>
      </w:rPr>
    </w:pPr>
    <w:r w:rsidRPr="00C9686D">
      <w:rPr>
        <w:rStyle w:val="PageNumber"/>
        <w:rFonts w:ascii="Arial" w:hAnsi="Arial" w:cs="Arial"/>
        <w:sz w:val="24"/>
        <w:szCs w:val="24"/>
      </w:rPr>
      <w:fldChar w:fldCharType="begin"/>
    </w:r>
    <w:r w:rsidRPr="00C9686D">
      <w:rPr>
        <w:rStyle w:val="PageNumber"/>
        <w:rFonts w:ascii="Arial" w:hAnsi="Arial" w:cs="Arial"/>
        <w:sz w:val="24"/>
        <w:szCs w:val="24"/>
      </w:rPr>
      <w:instrText xml:space="preserve">PAGE  </w:instrText>
    </w:r>
    <w:r w:rsidRPr="00C9686D">
      <w:rPr>
        <w:rStyle w:val="PageNumber"/>
        <w:rFonts w:ascii="Arial" w:hAnsi="Arial" w:cs="Arial"/>
        <w:sz w:val="24"/>
        <w:szCs w:val="24"/>
      </w:rPr>
      <w:fldChar w:fldCharType="separate"/>
    </w:r>
    <w:r w:rsidR="00CA2504">
      <w:rPr>
        <w:rStyle w:val="PageNumber"/>
        <w:rFonts w:ascii="Arial" w:hAnsi="Arial" w:cs="Arial"/>
        <w:noProof/>
        <w:sz w:val="24"/>
        <w:szCs w:val="24"/>
      </w:rPr>
      <w:t>6</w:t>
    </w:r>
    <w:r w:rsidRPr="00C9686D">
      <w:rPr>
        <w:rStyle w:val="PageNumber"/>
        <w:rFonts w:ascii="Arial" w:hAnsi="Arial" w:cs="Arial"/>
        <w:sz w:val="24"/>
        <w:szCs w:val="24"/>
      </w:rPr>
      <w:fldChar w:fldCharType="end"/>
    </w:r>
  </w:p>
  <w:p w:rsidR="0048692B" w:rsidRDefault="0048692B" w:rsidP="00486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92B" w:rsidRDefault="0048692B">
      <w:r>
        <w:separator/>
      </w:r>
    </w:p>
  </w:footnote>
  <w:footnote w:type="continuationSeparator" w:id="0">
    <w:p w:rsidR="0048692B" w:rsidRDefault="00486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39EE"/>
    <w:multiLevelType w:val="hybridMultilevel"/>
    <w:tmpl w:val="33EC3B66"/>
    <w:lvl w:ilvl="0" w:tplc="5D52A0E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340E9"/>
    <w:multiLevelType w:val="hybridMultilevel"/>
    <w:tmpl w:val="44028A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A47BE"/>
    <w:multiLevelType w:val="hybridMultilevel"/>
    <w:tmpl w:val="EEEC5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33E2E"/>
    <w:multiLevelType w:val="hybridMultilevel"/>
    <w:tmpl w:val="4F70CF46"/>
    <w:lvl w:ilvl="0" w:tplc="22A478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85359"/>
    <w:multiLevelType w:val="hybridMultilevel"/>
    <w:tmpl w:val="37F2B8DC"/>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732C6B"/>
    <w:multiLevelType w:val="hybridMultilevel"/>
    <w:tmpl w:val="AF967B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3F34CD"/>
    <w:multiLevelType w:val="hybridMultilevel"/>
    <w:tmpl w:val="5B6A7AC4"/>
    <w:lvl w:ilvl="0" w:tplc="F968B4CA">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C469FC"/>
    <w:multiLevelType w:val="hybridMultilevel"/>
    <w:tmpl w:val="69BE23D2"/>
    <w:lvl w:ilvl="0" w:tplc="33B2BF3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49F6"/>
    <w:multiLevelType w:val="hybridMultilevel"/>
    <w:tmpl w:val="09BE20EC"/>
    <w:lvl w:ilvl="0" w:tplc="D02E342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D3755"/>
    <w:multiLevelType w:val="hybridMultilevel"/>
    <w:tmpl w:val="880EFADE"/>
    <w:lvl w:ilvl="0" w:tplc="9AB8F46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B00FD"/>
    <w:multiLevelType w:val="hybridMultilevel"/>
    <w:tmpl w:val="F266DA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914AE4"/>
    <w:multiLevelType w:val="hybridMultilevel"/>
    <w:tmpl w:val="B336CD7C"/>
    <w:lvl w:ilvl="0" w:tplc="5448CD6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7482D"/>
    <w:multiLevelType w:val="hybridMultilevel"/>
    <w:tmpl w:val="2F427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5911AB"/>
    <w:multiLevelType w:val="hybridMultilevel"/>
    <w:tmpl w:val="DDB03AB6"/>
    <w:lvl w:ilvl="0" w:tplc="6832C782">
      <w:start w:val="6"/>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55589"/>
    <w:multiLevelType w:val="hybridMultilevel"/>
    <w:tmpl w:val="60C837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7064E9"/>
    <w:multiLevelType w:val="hybridMultilevel"/>
    <w:tmpl w:val="0F325C2A"/>
    <w:lvl w:ilvl="0" w:tplc="1B500DD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606F8"/>
    <w:multiLevelType w:val="hybridMultilevel"/>
    <w:tmpl w:val="F56605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16ACB"/>
    <w:multiLevelType w:val="hybridMultilevel"/>
    <w:tmpl w:val="53E04AB0"/>
    <w:lvl w:ilvl="0" w:tplc="995CDE0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9A3EB5"/>
    <w:multiLevelType w:val="hybridMultilevel"/>
    <w:tmpl w:val="824C32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D04AA"/>
    <w:multiLevelType w:val="hybridMultilevel"/>
    <w:tmpl w:val="E128758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416E2B"/>
    <w:multiLevelType w:val="hybridMultilevel"/>
    <w:tmpl w:val="4AFC1972"/>
    <w:lvl w:ilvl="0" w:tplc="5AFCD67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9F70ED"/>
    <w:multiLevelType w:val="hybridMultilevel"/>
    <w:tmpl w:val="E22EB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A26A9E"/>
    <w:multiLevelType w:val="hybridMultilevel"/>
    <w:tmpl w:val="19BC85CE"/>
    <w:lvl w:ilvl="0" w:tplc="C5527644">
      <w:start w:val="5"/>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820B6"/>
    <w:multiLevelType w:val="hybridMultilevel"/>
    <w:tmpl w:val="66EA82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F913D8"/>
    <w:multiLevelType w:val="hybridMultilevel"/>
    <w:tmpl w:val="F3B29DF8"/>
    <w:lvl w:ilvl="0" w:tplc="B92070B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B1544"/>
    <w:multiLevelType w:val="hybridMultilevel"/>
    <w:tmpl w:val="1FC41B3C"/>
    <w:lvl w:ilvl="0" w:tplc="2C76211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605D69"/>
    <w:multiLevelType w:val="hybridMultilevel"/>
    <w:tmpl w:val="CB96C6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220197"/>
    <w:multiLevelType w:val="hybridMultilevel"/>
    <w:tmpl w:val="107816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8886C5E"/>
    <w:multiLevelType w:val="hybridMultilevel"/>
    <w:tmpl w:val="4A9CA6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0C132D"/>
    <w:multiLevelType w:val="hybridMultilevel"/>
    <w:tmpl w:val="EF2E51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4D56DB"/>
    <w:multiLevelType w:val="hybridMultilevel"/>
    <w:tmpl w:val="BC34C8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6373CF"/>
    <w:multiLevelType w:val="hybridMultilevel"/>
    <w:tmpl w:val="48FEA1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6D5DD4"/>
    <w:multiLevelType w:val="hybridMultilevel"/>
    <w:tmpl w:val="B36E24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9"/>
  </w:num>
  <w:num w:numId="4">
    <w:abstractNumId w:val="23"/>
  </w:num>
  <w:num w:numId="5">
    <w:abstractNumId w:val="14"/>
  </w:num>
  <w:num w:numId="6">
    <w:abstractNumId w:val="21"/>
  </w:num>
  <w:num w:numId="7">
    <w:abstractNumId w:val="31"/>
  </w:num>
  <w:num w:numId="8">
    <w:abstractNumId w:val="1"/>
  </w:num>
  <w:num w:numId="9">
    <w:abstractNumId w:val="27"/>
  </w:num>
  <w:num w:numId="10">
    <w:abstractNumId w:val="20"/>
  </w:num>
  <w:num w:numId="11">
    <w:abstractNumId w:val="30"/>
  </w:num>
  <w:num w:numId="12">
    <w:abstractNumId w:val="4"/>
  </w:num>
  <w:num w:numId="13">
    <w:abstractNumId w:val="12"/>
  </w:num>
  <w:num w:numId="14">
    <w:abstractNumId w:val="29"/>
  </w:num>
  <w:num w:numId="15">
    <w:abstractNumId w:val="5"/>
  </w:num>
  <w:num w:numId="16">
    <w:abstractNumId w:val="32"/>
  </w:num>
  <w:num w:numId="17">
    <w:abstractNumId w:val="15"/>
  </w:num>
  <w:num w:numId="18">
    <w:abstractNumId w:val="17"/>
  </w:num>
  <w:num w:numId="19">
    <w:abstractNumId w:val="6"/>
  </w:num>
  <w:num w:numId="20">
    <w:abstractNumId w:val="8"/>
  </w:num>
  <w:num w:numId="21">
    <w:abstractNumId w:val="3"/>
  </w:num>
  <w:num w:numId="22">
    <w:abstractNumId w:val="9"/>
  </w:num>
  <w:num w:numId="23">
    <w:abstractNumId w:val="7"/>
  </w:num>
  <w:num w:numId="24">
    <w:abstractNumId w:val="10"/>
  </w:num>
  <w:num w:numId="25">
    <w:abstractNumId w:val="26"/>
  </w:num>
  <w:num w:numId="26">
    <w:abstractNumId w:val="18"/>
  </w:num>
  <w:num w:numId="27">
    <w:abstractNumId w:val="22"/>
  </w:num>
  <w:num w:numId="28">
    <w:abstractNumId w:val="0"/>
  </w:num>
  <w:num w:numId="29">
    <w:abstractNumId w:val="24"/>
  </w:num>
  <w:num w:numId="30">
    <w:abstractNumId w:val="11"/>
  </w:num>
  <w:num w:numId="31">
    <w:abstractNumId w:val="13"/>
  </w:num>
  <w:num w:numId="32">
    <w:abstractNumId w:val="2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9304A"/>
    <w:rsid w:val="001140F4"/>
    <w:rsid w:val="00147F07"/>
    <w:rsid w:val="001B4D73"/>
    <w:rsid w:val="001B61B8"/>
    <w:rsid w:val="002A0C9C"/>
    <w:rsid w:val="002A32A2"/>
    <w:rsid w:val="002E0AC9"/>
    <w:rsid w:val="003B3F76"/>
    <w:rsid w:val="004601DB"/>
    <w:rsid w:val="00475BD7"/>
    <w:rsid w:val="0048692B"/>
    <w:rsid w:val="004E36C5"/>
    <w:rsid w:val="004E36F9"/>
    <w:rsid w:val="00542637"/>
    <w:rsid w:val="00542928"/>
    <w:rsid w:val="00583BC9"/>
    <w:rsid w:val="005876CC"/>
    <w:rsid w:val="00614F53"/>
    <w:rsid w:val="006B586B"/>
    <w:rsid w:val="00785BC5"/>
    <w:rsid w:val="00806D9E"/>
    <w:rsid w:val="008A596D"/>
    <w:rsid w:val="009A202D"/>
    <w:rsid w:val="009C7B9B"/>
    <w:rsid w:val="00A5273D"/>
    <w:rsid w:val="00A83160"/>
    <w:rsid w:val="00AC2B7C"/>
    <w:rsid w:val="00B61D51"/>
    <w:rsid w:val="00BC3D04"/>
    <w:rsid w:val="00C01523"/>
    <w:rsid w:val="00C01D9B"/>
    <w:rsid w:val="00C071CD"/>
    <w:rsid w:val="00C9686D"/>
    <w:rsid w:val="00CA2504"/>
    <w:rsid w:val="00CB2C3A"/>
    <w:rsid w:val="00D15091"/>
    <w:rsid w:val="00D320B1"/>
    <w:rsid w:val="00D77752"/>
    <w:rsid w:val="00D92A2E"/>
    <w:rsid w:val="00DF1817"/>
    <w:rsid w:val="00E52F08"/>
    <w:rsid w:val="00E92F51"/>
    <w:rsid w:val="00EA44A2"/>
    <w:rsid w:val="00EF05CB"/>
    <w:rsid w:val="00F40C23"/>
    <w:rsid w:val="00F4345A"/>
    <w:rsid w:val="00F66F82"/>
    <w:rsid w:val="00FB70F1"/>
    <w:rsid w:val="00FD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C29F33-FEDD-48BF-BE07-459E2AFA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83BC9"/>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583BC9"/>
    <w:rPr>
      <w:rFonts w:ascii="Calibri" w:eastAsia="MS Mincho" w:hAnsi="Calibri"/>
      <w:sz w:val="22"/>
      <w:szCs w:val="22"/>
      <w:lang w:eastAsia="ja-JP"/>
    </w:rPr>
  </w:style>
  <w:style w:type="character" w:styleId="PageNumber">
    <w:name w:val="page number"/>
    <w:basedOn w:val="DefaultParagraphFont"/>
    <w:rsid w:val="00583BC9"/>
  </w:style>
  <w:style w:type="paragraph" w:styleId="BalloonText">
    <w:name w:val="Balloon Text"/>
    <w:basedOn w:val="Normal"/>
    <w:link w:val="BalloonTextChar"/>
    <w:semiHidden/>
    <w:unhideWhenUsed/>
    <w:rsid w:val="001B4D73"/>
    <w:rPr>
      <w:rFonts w:ascii="Segoe UI" w:hAnsi="Segoe UI" w:cs="Segoe UI"/>
      <w:sz w:val="18"/>
      <w:szCs w:val="18"/>
    </w:rPr>
  </w:style>
  <w:style w:type="character" w:customStyle="1" w:styleId="BalloonTextChar">
    <w:name w:val="Balloon Text Char"/>
    <w:basedOn w:val="DefaultParagraphFont"/>
    <w:link w:val="BalloonText"/>
    <w:semiHidden/>
    <w:rsid w:val="001B4D73"/>
    <w:rPr>
      <w:rFonts w:ascii="Segoe UI" w:hAnsi="Segoe UI" w:cs="Segoe UI"/>
      <w:sz w:val="18"/>
      <w:szCs w:val="18"/>
    </w:rPr>
  </w:style>
  <w:style w:type="table" w:styleId="TableGrid">
    <w:name w:val="Table Grid"/>
    <w:basedOn w:val="TableNormal"/>
    <w:rsid w:val="002E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AC9"/>
    <w:pPr>
      <w:ind w:left="720"/>
      <w:contextualSpacing/>
    </w:pPr>
  </w:style>
  <w:style w:type="character" w:styleId="Hyperlink">
    <w:name w:val="Hyperlink"/>
    <w:basedOn w:val="DefaultParagraphFont"/>
    <w:unhideWhenUsed/>
    <w:rsid w:val="006B586B"/>
    <w:rPr>
      <w:color w:val="0000FF" w:themeColor="hyperlink"/>
      <w:u w:val="single"/>
    </w:rPr>
  </w:style>
  <w:style w:type="paragraph" w:styleId="Header">
    <w:name w:val="header"/>
    <w:basedOn w:val="Normal"/>
    <w:link w:val="HeaderChar"/>
    <w:unhideWhenUsed/>
    <w:rsid w:val="00C9686D"/>
    <w:pPr>
      <w:tabs>
        <w:tab w:val="center" w:pos="4680"/>
        <w:tab w:val="right" w:pos="9360"/>
      </w:tabs>
    </w:pPr>
  </w:style>
  <w:style w:type="character" w:customStyle="1" w:styleId="HeaderChar">
    <w:name w:val="Header Char"/>
    <w:basedOn w:val="DefaultParagraphFont"/>
    <w:link w:val="Header"/>
    <w:rsid w:val="00C968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C344C12D</Template>
  <TotalTime>0</TotalTime>
  <Pages>7</Pages>
  <Words>1841</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Rosario De Leon</cp:lastModifiedBy>
  <cp:revision>2</cp:revision>
  <cp:lastPrinted>2019-06-27T07:22:00Z</cp:lastPrinted>
  <dcterms:created xsi:type="dcterms:W3CDTF">2019-08-19T18:23:00Z</dcterms:created>
  <dcterms:modified xsi:type="dcterms:W3CDTF">2019-08-19T18:23:00Z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