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365" w:type="dxa"/>
        <w:tblLook w:val="04A0" w:firstRow="1" w:lastRow="0" w:firstColumn="1" w:lastColumn="0" w:noHBand="0" w:noVBand="1"/>
      </w:tblPr>
      <w:tblGrid>
        <w:gridCol w:w="4271"/>
        <w:gridCol w:w="4024"/>
        <w:gridCol w:w="1695"/>
      </w:tblGrid>
      <w:tr w:rsidR="0064297A" w:rsidRPr="00FF4F77" w14:paraId="7F474A6F" w14:textId="77777777" w:rsidTr="00B31B67">
        <w:trPr>
          <w:cantSplit/>
          <w:tblHeader/>
        </w:trPr>
        <w:tc>
          <w:tcPr>
            <w:tcW w:w="9990" w:type="dxa"/>
            <w:gridSpan w:val="3"/>
            <w:shd w:val="clear" w:color="auto" w:fill="9CC2E5" w:themeFill="accent1" w:themeFillTint="99"/>
          </w:tcPr>
          <w:p w14:paraId="613D1479" w14:textId="77777777" w:rsidR="0064297A" w:rsidRPr="00FF4F77" w:rsidRDefault="0064297A">
            <w:pPr>
              <w:rPr>
                <w:rFonts w:ascii="Times New Roman" w:hAnsi="Times New Roman" w:cs="Times New Roman"/>
                <w:b/>
              </w:rPr>
            </w:pPr>
            <w:r>
              <w:rPr>
                <w:rFonts w:ascii="Times New Roman" w:hAnsi="Times New Roman" w:cs="Times New Roman"/>
                <w:b/>
              </w:rPr>
              <w:t xml:space="preserve">CAMPUS: </w:t>
            </w:r>
            <w:r w:rsidR="00FF765A">
              <w:rPr>
                <w:rFonts w:ascii="Times New Roman" w:hAnsi="Times New Roman" w:cs="Times New Roman"/>
                <w:b/>
              </w:rPr>
              <w:t>UCLA</w:t>
            </w:r>
          </w:p>
        </w:tc>
      </w:tr>
      <w:tr w:rsidR="004F79EC" w:rsidRPr="00FF4F77" w14:paraId="60E4CE83" w14:textId="77777777" w:rsidTr="004F79EC">
        <w:trPr>
          <w:cantSplit/>
          <w:tblHeader/>
        </w:trPr>
        <w:tc>
          <w:tcPr>
            <w:tcW w:w="4271" w:type="dxa"/>
            <w:shd w:val="clear" w:color="auto" w:fill="9CC2E5" w:themeFill="accent1" w:themeFillTint="99"/>
          </w:tcPr>
          <w:p w14:paraId="6CFF746A" w14:textId="77777777" w:rsidR="00040BC4" w:rsidRPr="00FF4F77" w:rsidRDefault="00040BC4" w:rsidP="00040BC4">
            <w:pPr>
              <w:rPr>
                <w:rFonts w:ascii="Times New Roman" w:hAnsi="Times New Roman" w:cs="Times New Roman"/>
                <w:b/>
              </w:rPr>
            </w:pPr>
            <w:r w:rsidRPr="00FF4F77">
              <w:rPr>
                <w:rFonts w:ascii="Times New Roman" w:hAnsi="Times New Roman" w:cs="Times New Roman"/>
                <w:b/>
              </w:rPr>
              <w:t>Recommendation</w:t>
            </w:r>
          </w:p>
        </w:tc>
        <w:tc>
          <w:tcPr>
            <w:tcW w:w="4024" w:type="dxa"/>
            <w:shd w:val="clear" w:color="auto" w:fill="9CC2E5" w:themeFill="accent1" w:themeFillTint="99"/>
          </w:tcPr>
          <w:p w14:paraId="1F21FC86" w14:textId="77777777" w:rsidR="00040BC4" w:rsidRPr="00FF4F77" w:rsidRDefault="00040BC4">
            <w:pPr>
              <w:rPr>
                <w:rFonts w:ascii="Times New Roman" w:hAnsi="Times New Roman" w:cs="Times New Roman"/>
                <w:b/>
              </w:rPr>
            </w:pPr>
            <w:r w:rsidRPr="00FF4F77">
              <w:rPr>
                <w:rFonts w:ascii="Times New Roman" w:hAnsi="Times New Roman" w:cs="Times New Roman"/>
                <w:b/>
              </w:rPr>
              <w:t>Management Corrective Action</w:t>
            </w:r>
          </w:p>
        </w:tc>
        <w:tc>
          <w:tcPr>
            <w:tcW w:w="1695" w:type="dxa"/>
            <w:shd w:val="clear" w:color="auto" w:fill="9CC2E5" w:themeFill="accent1" w:themeFillTint="99"/>
          </w:tcPr>
          <w:p w14:paraId="75E15773" w14:textId="77777777" w:rsidR="00040BC4" w:rsidRPr="00FF4F77" w:rsidRDefault="00040BC4">
            <w:pPr>
              <w:rPr>
                <w:rFonts w:ascii="Times New Roman" w:hAnsi="Times New Roman" w:cs="Times New Roman"/>
                <w:b/>
              </w:rPr>
            </w:pPr>
            <w:r w:rsidRPr="00FF4F77">
              <w:rPr>
                <w:rFonts w:ascii="Times New Roman" w:hAnsi="Times New Roman" w:cs="Times New Roman"/>
                <w:b/>
              </w:rPr>
              <w:t>Target Date</w:t>
            </w:r>
          </w:p>
        </w:tc>
      </w:tr>
      <w:tr w:rsidR="00261215" w:rsidRPr="00FF4F77" w14:paraId="7B6EA90B" w14:textId="77777777" w:rsidTr="00B31B67">
        <w:trPr>
          <w:cantSplit/>
          <w:trHeight w:val="548"/>
        </w:trPr>
        <w:tc>
          <w:tcPr>
            <w:tcW w:w="9990" w:type="dxa"/>
            <w:gridSpan w:val="3"/>
            <w:shd w:val="clear" w:color="auto" w:fill="FFF2CC" w:themeFill="accent4" w:themeFillTint="33"/>
          </w:tcPr>
          <w:p w14:paraId="44D35B9F" w14:textId="77777777" w:rsidR="00261215" w:rsidRPr="00261215" w:rsidRDefault="00261215" w:rsidP="00976BE0">
            <w:pPr>
              <w:pStyle w:val="Heading2"/>
              <w:numPr>
                <w:ilvl w:val="0"/>
                <w:numId w:val="1"/>
              </w:numPr>
              <w:spacing w:before="0"/>
              <w:ind w:left="330"/>
              <w:outlineLvl w:val="1"/>
              <w:rPr>
                <w:rFonts w:ascii="Times New Roman" w:eastAsiaTheme="minorEastAsia" w:hAnsi="Times New Roman" w:cs="Times New Roman"/>
                <w:b/>
                <w:color w:val="000000" w:themeColor="text1"/>
              </w:rPr>
            </w:pPr>
            <w:bookmarkStart w:id="0" w:name="_Toc63710244"/>
            <w:r w:rsidRPr="002F50F2">
              <w:rPr>
                <w:rFonts w:ascii="Times New Roman" w:eastAsiaTheme="minorEastAsia" w:hAnsi="Times New Roman" w:cs="Times New Roman"/>
                <w:b/>
                <w:color w:val="000000" w:themeColor="text1"/>
              </w:rPr>
              <w:t>Protocols to Detect Undisclosed Faculty Affiliation</w:t>
            </w:r>
            <w:bookmarkEnd w:id="0"/>
            <w:r>
              <w:rPr>
                <w:rFonts w:ascii="Times New Roman" w:eastAsiaTheme="minorEastAsia" w:hAnsi="Times New Roman" w:cs="Times New Roman"/>
                <w:b/>
                <w:color w:val="000000" w:themeColor="text1"/>
              </w:rPr>
              <w:t>s</w:t>
            </w:r>
          </w:p>
        </w:tc>
      </w:tr>
      <w:tr w:rsidR="004F79EC" w:rsidRPr="00FF4F77" w14:paraId="715B827D" w14:textId="77777777" w:rsidTr="004F79EC">
        <w:trPr>
          <w:cantSplit/>
        </w:trPr>
        <w:tc>
          <w:tcPr>
            <w:tcW w:w="4271" w:type="dxa"/>
          </w:tcPr>
          <w:p w14:paraId="5F57F35F" w14:textId="77777777" w:rsidR="00040BC4" w:rsidRPr="00A40964" w:rsidRDefault="002F50F2" w:rsidP="00976BE0">
            <w:pPr>
              <w:pStyle w:val="ListParagraph"/>
              <w:numPr>
                <w:ilvl w:val="0"/>
                <w:numId w:val="2"/>
              </w:numPr>
              <w:spacing w:after="200"/>
              <w:ind w:left="330"/>
              <w:rPr>
                <w:rFonts w:ascii="Times New Roman" w:eastAsia="Calibri" w:hAnsi="Times New Roman" w:cs="Times New Roman"/>
              </w:rPr>
            </w:pPr>
            <w:r w:rsidRPr="002F50F2">
              <w:rPr>
                <w:rFonts w:ascii="Times New Roman" w:eastAsia="Calibri" w:hAnsi="Times New Roman" w:cs="Times New Roman"/>
              </w:rPr>
              <w:t>Evaluate the recommended baseline institutional protocols and modify them as necessary vis-à-vis their own infrastructure, resources, and communication and IT systems to implement them locally. For example, templates developed by the working group could be tailored to meet local needs.</w:t>
            </w:r>
          </w:p>
        </w:tc>
        <w:tc>
          <w:tcPr>
            <w:tcW w:w="4024" w:type="dxa"/>
          </w:tcPr>
          <w:p w14:paraId="4C205E66" w14:textId="77777777" w:rsidR="004D0D5F" w:rsidRDefault="00D63487" w:rsidP="00D63487">
            <w:pPr>
              <w:pStyle w:val="ListParagraph"/>
              <w:numPr>
                <w:ilvl w:val="0"/>
                <w:numId w:val="15"/>
              </w:numPr>
              <w:rPr>
                <w:rFonts w:ascii="Times New Roman" w:eastAsia="Times New Roman" w:hAnsi="Times New Roman" w:cs="Times New Roman"/>
              </w:rPr>
            </w:pPr>
            <w:r w:rsidRPr="004D0D5F">
              <w:rPr>
                <w:rFonts w:ascii="Times New Roman" w:eastAsia="Times New Roman" w:hAnsi="Times New Roman" w:cs="Times New Roman"/>
              </w:rPr>
              <w:t>Research &amp; Creative Activities will evaluate baseline protocols developed through systemwide collaboration of key stakeholders and modify them as necessary.</w:t>
            </w:r>
          </w:p>
          <w:p w14:paraId="10D2558F" w14:textId="77777777" w:rsidR="00D63487" w:rsidRPr="004D0D5F" w:rsidRDefault="00D63487" w:rsidP="00D63487">
            <w:pPr>
              <w:pStyle w:val="ListParagraph"/>
              <w:numPr>
                <w:ilvl w:val="0"/>
                <w:numId w:val="15"/>
              </w:numPr>
              <w:rPr>
                <w:rFonts w:ascii="Times New Roman" w:eastAsia="Times New Roman" w:hAnsi="Times New Roman" w:cs="Times New Roman"/>
              </w:rPr>
            </w:pPr>
            <w:r w:rsidRPr="004D0D5F">
              <w:rPr>
                <w:rFonts w:ascii="Times New Roman" w:eastAsia="Times New Roman" w:hAnsi="Times New Roman" w:cs="Times New Roman"/>
              </w:rPr>
              <w:t>Research &amp; Creative Activities will implement protocols developed in 1.2(A).</w:t>
            </w:r>
          </w:p>
          <w:p w14:paraId="70291501" w14:textId="77777777" w:rsidR="00040BC4" w:rsidRPr="00FF4F77" w:rsidRDefault="00040BC4">
            <w:pPr>
              <w:rPr>
                <w:rFonts w:ascii="Times New Roman" w:hAnsi="Times New Roman" w:cs="Times New Roman"/>
              </w:rPr>
            </w:pPr>
          </w:p>
        </w:tc>
        <w:tc>
          <w:tcPr>
            <w:tcW w:w="1695" w:type="dxa"/>
          </w:tcPr>
          <w:p w14:paraId="7317C132" w14:textId="2073AC42" w:rsidR="00040BC4" w:rsidRPr="00FF4F77" w:rsidRDefault="000C4DA8">
            <w:pPr>
              <w:rPr>
                <w:rFonts w:ascii="Times New Roman" w:hAnsi="Times New Roman" w:cs="Times New Roman"/>
              </w:rPr>
            </w:pPr>
            <w:r>
              <w:rPr>
                <w:rFonts w:ascii="Times New Roman" w:hAnsi="Times New Roman" w:cs="Times New Roman"/>
              </w:rPr>
              <w:t>April 1, 2022</w:t>
            </w:r>
          </w:p>
        </w:tc>
      </w:tr>
      <w:tr w:rsidR="00261215" w:rsidRPr="00FF4F77" w14:paraId="3C23FAE1" w14:textId="77777777" w:rsidTr="00B31B67">
        <w:trPr>
          <w:cantSplit/>
        </w:trPr>
        <w:tc>
          <w:tcPr>
            <w:tcW w:w="9990" w:type="dxa"/>
            <w:gridSpan w:val="3"/>
            <w:shd w:val="clear" w:color="auto" w:fill="FFF2CC" w:themeFill="accent4" w:themeFillTint="33"/>
          </w:tcPr>
          <w:p w14:paraId="5EA9E1D4" w14:textId="77777777" w:rsidR="00261215" w:rsidRDefault="00261215" w:rsidP="00976BE0">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Conflict of Interest</w:t>
            </w:r>
          </w:p>
          <w:p w14:paraId="36497BED" w14:textId="77777777" w:rsidR="00261215" w:rsidRPr="00FF4F77" w:rsidRDefault="00261215">
            <w:pPr>
              <w:rPr>
                <w:rFonts w:ascii="Times New Roman" w:hAnsi="Times New Roman" w:cs="Times New Roman"/>
              </w:rPr>
            </w:pPr>
          </w:p>
        </w:tc>
      </w:tr>
      <w:tr w:rsidR="004F79EC" w:rsidRPr="00FF4F77" w14:paraId="03AE5669" w14:textId="77777777" w:rsidTr="004F79EC">
        <w:trPr>
          <w:cantSplit/>
        </w:trPr>
        <w:tc>
          <w:tcPr>
            <w:tcW w:w="4271" w:type="dxa"/>
          </w:tcPr>
          <w:p w14:paraId="4B5C6407" w14:textId="77777777" w:rsidR="007B47C9" w:rsidRPr="00A40964" w:rsidRDefault="007B47C9" w:rsidP="00976BE0">
            <w:pPr>
              <w:pStyle w:val="ListParagraph"/>
              <w:numPr>
                <w:ilvl w:val="1"/>
                <w:numId w:val="1"/>
              </w:numPr>
              <w:spacing w:after="200"/>
              <w:ind w:left="330"/>
              <w:rPr>
                <w:rFonts w:ascii="Times New Roman" w:eastAsia="Calibri" w:hAnsi="Times New Roman" w:cs="Times New Roman"/>
              </w:rPr>
            </w:pPr>
            <w:r w:rsidRPr="007B47C9">
              <w:rPr>
                <w:rFonts w:ascii="Times New Roman" w:eastAsia="Calibri" w:hAnsi="Times New Roman" w:cs="Times New Roman"/>
              </w:rPr>
              <w:t>Implement protocols at the campuses, health systems, and LBNL to ensure that the compliance function (CECO and HCCO) regularly receives information (such as copies of determination letters sent to PIs after identification of significant financial interests in foreign entities) and is engaged, as appropriate for each location, on significant conflict of interest issues and management plans. An example of engagement by the compliance officer could be ex-officio membership on a financial conflict of interest committee.</w:t>
            </w:r>
          </w:p>
          <w:p w14:paraId="327635AA" w14:textId="77777777" w:rsidR="00C1164A" w:rsidRPr="009921FA" w:rsidRDefault="00C1164A" w:rsidP="00C1164A">
            <w:pPr>
              <w:pStyle w:val="ListParagraph"/>
              <w:ind w:left="330"/>
              <w:rPr>
                <w:rFonts w:ascii="Times New Roman" w:hAnsi="Times New Roman" w:cs="Times New Roman"/>
                <w:b/>
                <w:sz w:val="24"/>
                <w:szCs w:val="24"/>
              </w:rPr>
            </w:pPr>
          </w:p>
        </w:tc>
        <w:tc>
          <w:tcPr>
            <w:tcW w:w="4024" w:type="dxa"/>
          </w:tcPr>
          <w:p w14:paraId="7BF57B6B" w14:textId="77777777" w:rsidR="004D0D5F" w:rsidRDefault="004D0D5F" w:rsidP="004D0D5F">
            <w:pPr>
              <w:pStyle w:val="ListParagraph"/>
              <w:numPr>
                <w:ilvl w:val="0"/>
                <w:numId w:val="14"/>
              </w:numPr>
              <w:rPr>
                <w:rFonts w:ascii="Times New Roman" w:hAnsi="Times New Roman" w:cs="Times New Roman"/>
              </w:rPr>
            </w:pPr>
            <w:r w:rsidRPr="004D0D5F">
              <w:rPr>
                <w:rFonts w:ascii="Times New Roman" w:hAnsi="Times New Roman" w:cs="Times New Roman"/>
              </w:rPr>
              <w:t>Research &amp; Creative Activities will consider recommendations made by UCLA Health Compliance and Campus Compliance to determine how best to share information about reviews conducted by the campus Conflict of In</w:t>
            </w:r>
            <w:r>
              <w:rPr>
                <w:rFonts w:ascii="Times New Roman" w:hAnsi="Times New Roman" w:cs="Times New Roman"/>
              </w:rPr>
              <w:t>terest Review Committee (CIRC).</w:t>
            </w:r>
          </w:p>
          <w:p w14:paraId="138CAEB6" w14:textId="77777777" w:rsidR="004D0D5F" w:rsidRDefault="004D0D5F" w:rsidP="004D0D5F">
            <w:pPr>
              <w:pStyle w:val="ListParagraph"/>
              <w:numPr>
                <w:ilvl w:val="0"/>
                <w:numId w:val="14"/>
              </w:numPr>
              <w:rPr>
                <w:rFonts w:ascii="Times New Roman" w:hAnsi="Times New Roman" w:cs="Times New Roman"/>
              </w:rPr>
            </w:pPr>
            <w:r w:rsidRPr="004D0D5F">
              <w:rPr>
                <w:rFonts w:ascii="Times New Roman" w:hAnsi="Times New Roman" w:cs="Times New Roman"/>
              </w:rPr>
              <w:t>Evaluate eDGE functionality to identify organizations as US or foreign entities.</w:t>
            </w:r>
          </w:p>
          <w:p w14:paraId="171732E5" w14:textId="77777777" w:rsidR="00C1164A" w:rsidRPr="004D0D5F" w:rsidRDefault="004D0D5F" w:rsidP="004D0D5F">
            <w:pPr>
              <w:pStyle w:val="ListParagraph"/>
              <w:numPr>
                <w:ilvl w:val="0"/>
                <w:numId w:val="14"/>
              </w:numPr>
              <w:rPr>
                <w:rFonts w:ascii="Times New Roman" w:hAnsi="Times New Roman" w:cs="Times New Roman"/>
              </w:rPr>
            </w:pPr>
            <w:r w:rsidRPr="004D0D5F">
              <w:rPr>
                <w:rFonts w:ascii="Times New Roman" w:hAnsi="Times New Roman" w:cs="Times New Roman"/>
              </w:rPr>
              <w:t>Research Policy &amp; Compliance, will implement processes developed in 2.1(A) and B.</w:t>
            </w:r>
          </w:p>
        </w:tc>
        <w:tc>
          <w:tcPr>
            <w:tcW w:w="1695" w:type="dxa"/>
          </w:tcPr>
          <w:p w14:paraId="70082633" w14:textId="02A1EE46" w:rsidR="00C1164A" w:rsidRPr="00FF4F77" w:rsidRDefault="000C4DA8">
            <w:pPr>
              <w:rPr>
                <w:rFonts w:ascii="Times New Roman" w:hAnsi="Times New Roman" w:cs="Times New Roman"/>
              </w:rPr>
            </w:pPr>
            <w:r>
              <w:rPr>
                <w:rFonts w:ascii="Times New Roman" w:hAnsi="Times New Roman" w:cs="Times New Roman"/>
              </w:rPr>
              <w:t>January</w:t>
            </w:r>
            <w:r w:rsidR="004D0D5F">
              <w:rPr>
                <w:rFonts w:ascii="Times New Roman" w:hAnsi="Times New Roman" w:cs="Times New Roman"/>
              </w:rPr>
              <w:t xml:space="preserve"> </w:t>
            </w:r>
            <w:r>
              <w:rPr>
                <w:rFonts w:ascii="Times New Roman" w:hAnsi="Times New Roman" w:cs="Times New Roman"/>
              </w:rPr>
              <w:t xml:space="preserve">1, </w:t>
            </w:r>
            <w:r w:rsidR="004D0D5F">
              <w:rPr>
                <w:rFonts w:ascii="Times New Roman" w:hAnsi="Times New Roman" w:cs="Times New Roman"/>
              </w:rPr>
              <w:t>202</w:t>
            </w:r>
            <w:r>
              <w:rPr>
                <w:rFonts w:ascii="Times New Roman" w:hAnsi="Times New Roman" w:cs="Times New Roman"/>
              </w:rPr>
              <w:t>2</w:t>
            </w:r>
          </w:p>
        </w:tc>
      </w:tr>
      <w:tr w:rsidR="00261215" w:rsidRPr="00FF4F77" w14:paraId="15F08E80" w14:textId="77777777" w:rsidTr="00B31B67">
        <w:trPr>
          <w:cantSplit/>
        </w:trPr>
        <w:tc>
          <w:tcPr>
            <w:tcW w:w="9990" w:type="dxa"/>
            <w:gridSpan w:val="3"/>
            <w:shd w:val="clear" w:color="auto" w:fill="FFF2CC" w:themeFill="accent4" w:themeFillTint="33"/>
          </w:tcPr>
          <w:p w14:paraId="5235B291" w14:textId="77777777" w:rsidR="00261215" w:rsidRDefault="00261215" w:rsidP="00976BE0">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Conflict of Commitment</w:t>
            </w:r>
          </w:p>
          <w:p w14:paraId="711035E5" w14:textId="77777777" w:rsidR="00261215" w:rsidRPr="00FF4F77" w:rsidRDefault="00261215">
            <w:pPr>
              <w:rPr>
                <w:rFonts w:ascii="Times New Roman" w:hAnsi="Times New Roman" w:cs="Times New Roman"/>
              </w:rPr>
            </w:pPr>
          </w:p>
        </w:tc>
      </w:tr>
      <w:tr w:rsidR="004F79EC" w:rsidRPr="00FF4F77" w14:paraId="083208E1" w14:textId="77777777" w:rsidTr="004F79EC">
        <w:trPr>
          <w:cantSplit/>
        </w:trPr>
        <w:tc>
          <w:tcPr>
            <w:tcW w:w="4271" w:type="dxa"/>
          </w:tcPr>
          <w:p w14:paraId="4897852A" w14:textId="77777777" w:rsidR="0064297A" w:rsidRPr="0064297A" w:rsidRDefault="0064297A" w:rsidP="00976BE0">
            <w:pPr>
              <w:pStyle w:val="ListParagraph"/>
              <w:numPr>
                <w:ilvl w:val="0"/>
                <w:numId w:val="3"/>
              </w:numPr>
              <w:spacing w:after="200"/>
              <w:ind w:left="330"/>
              <w:contextualSpacing w:val="0"/>
              <w:rPr>
                <w:rFonts w:ascii="Times New Roman" w:hAnsi="Times New Roman" w:cs="Times New Roman"/>
              </w:rPr>
            </w:pPr>
            <w:r w:rsidRPr="0064297A">
              <w:rPr>
                <w:rFonts w:ascii="Times New Roman" w:hAnsi="Times New Roman" w:cs="Times New Roman"/>
              </w:rPr>
              <w:t>Evaluate the protocols and measures developed to help ensure complete and timely submission and review of outside activity disclosures vis-à-vis their own infrastructure resources, and communication and IT systems to implement these or other measures to achieve the same goal.</w:t>
            </w:r>
          </w:p>
          <w:p w14:paraId="77DC6CBA" w14:textId="77777777" w:rsidR="00040BC4" w:rsidRPr="0019737D" w:rsidRDefault="00040BC4" w:rsidP="0019737D">
            <w:pPr>
              <w:ind w:left="-30"/>
              <w:rPr>
                <w:rFonts w:ascii="Times New Roman" w:hAnsi="Times New Roman" w:cs="Times New Roman"/>
              </w:rPr>
            </w:pPr>
          </w:p>
        </w:tc>
        <w:tc>
          <w:tcPr>
            <w:tcW w:w="4024" w:type="dxa"/>
          </w:tcPr>
          <w:p w14:paraId="5E441EEB" w14:textId="77777777" w:rsidR="004D0D5F" w:rsidRDefault="004D0D5F" w:rsidP="004D0D5F">
            <w:pPr>
              <w:pStyle w:val="ListParagraph"/>
              <w:numPr>
                <w:ilvl w:val="0"/>
                <w:numId w:val="16"/>
              </w:numPr>
              <w:rPr>
                <w:rFonts w:ascii="Times New Roman" w:hAnsi="Times New Roman" w:cs="Times New Roman"/>
              </w:rPr>
            </w:pPr>
            <w:r>
              <w:rPr>
                <w:rFonts w:ascii="Times New Roman" w:hAnsi="Times New Roman" w:cs="Times New Roman"/>
              </w:rPr>
              <w:t>Academic Personnel Office and Research &amp; Creative Activities will evaluate protocols developed through systemwide collaboration to determine the feasibility of local implementation, modifying them as necessary.</w:t>
            </w:r>
          </w:p>
          <w:p w14:paraId="7663073E" w14:textId="77777777" w:rsidR="00040BC4" w:rsidRPr="004D0D5F" w:rsidRDefault="004D0D5F" w:rsidP="004D0D5F">
            <w:pPr>
              <w:pStyle w:val="ListParagraph"/>
              <w:numPr>
                <w:ilvl w:val="0"/>
                <w:numId w:val="16"/>
              </w:numPr>
              <w:rPr>
                <w:rFonts w:ascii="Times New Roman" w:hAnsi="Times New Roman" w:cs="Times New Roman"/>
              </w:rPr>
            </w:pPr>
            <w:r w:rsidRPr="004D0D5F">
              <w:rPr>
                <w:rFonts w:ascii="Times New Roman" w:hAnsi="Times New Roman" w:cs="Times New Roman"/>
              </w:rPr>
              <w:t>Academic Personnel Office and Research &amp; Creative Activities will implement protocols developed in 3.6(A).</w:t>
            </w:r>
          </w:p>
        </w:tc>
        <w:tc>
          <w:tcPr>
            <w:tcW w:w="1695" w:type="dxa"/>
          </w:tcPr>
          <w:p w14:paraId="5019C89D" w14:textId="193E9659" w:rsidR="00040BC4" w:rsidRPr="00FF4F77" w:rsidRDefault="000C4DA8">
            <w:pPr>
              <w:rPr>
                <w:rFonts w:ascii="Times New Roman" w:hAnsi="Times New Roman" w:cs="Times New Roman"/>
              </w:rPr>
            </w:pPr>
            <w:r>
              <w:rPr>
                <w:rFonts w:ascii="Times New Roman" w:hAnsi="Times New Roman" w:cs="Times New Roman"/>
              </w:rPr>
              <w:t>April 1, 2022</w:t>
            </w:r>
          </w:p>
        </w:tc>
      </w:tr>
      <w:tr w:rsidR="004F79EC" w:rsidRPr="00FF4F77" w14:paraId="7ABCE2A0" w14:textId="77777777" w:rsidTr="004F79EC">
        <w:trPr>
          <w:cantSplit/>
        </w:trPr>
        <w:tc>
          <w:tcPr>
            <w:tcW w:w="4271" w:type="dxa"/>
          </w:tcPr>
          <w:p w14:paraId="028B4B0D" w14:textId="77777777" w:rsidR="0019737D" w:rsidRPr="0019737D" w:rsidRDefault="0019737D" w:rsidP="00976BE0">
            <w:pPr>
              <w:pStyle w:val="ListParagraph"/>
              <w:numPr>
                <w:ilvl w:val="1"/>
                <w:numId w:val="10"/>
              </w:numPr>
              <w:spacing w:after="200"/>
              <w:rPr>
                <w:rFonts w:ascii="Times New Roman" w:eastAsiaTheme="minorEastAsia" w:hAnsi="Times New Roman" w:cs="Times New Roman"/>
                <w:b/>
                <w:color w:val="000000" w:themeColor="text1"/>
              </w:rPr>
            </w:pPr>
            <w:r w:rsidRPr="0019737D">
              <w:rPr>
                <w:rFonts w:ascii="Times New Roman" w:hAnsi="Times New Roman" w:cs="Times New Roman"/>
              </w:rPr>
              <w:lastRenderedPageBreak/>
              <w:t>Evaluate the best practice solutions for institutional office compliance monitoring recommended by the OATS Governance Board and modify them as necessary to implement them locally.</w:t>
            </w:r>
          </w:p>
        </w:tc>
        <w:tc>
          <w:tcPr>
            <w:tcW w:w="4024" w:type="dxa"/>
          </w:tcPr>
          <w:p w14:paraId="34CAE4C0" w14:textId="77777777" w:rsidR="004D0D5F" w:rsidRDefault="004D0D5F" w:rsidP="004D0D5F">
            <w:pPr>
              <w:pStyle w:val="ListParagraph"/>
              <w:numPr>
                <w:ilvl w:val="0"/>
                <w:numId w:val="18"/>
              </w:numPr>
              <w:rPr>
                <w:rFonts w:ascii="Times New Roman" w:hAnsi="Times New Roman" w:cs="Times New Roman"/>
              </w:rPr>
            </w:pPr>
            <w:r w:rsidRPr="004D0D5F">
              <w:rPr>
                <w:rFonts w:ascii="Times New Roman" w:hAnsi="Times New Roman" w:cs="Times New Roman"/>
              </w:rPr>
              <w:t>Academic Personnel Office will evaluate best practice solutions for compliance monitoring by OATS Governance Board and modify local procedures as necessary.</w:t>
            </w:r>
          </w:p>
          <w:p w14:paraId="66B667FA" w14:textId="77777777" w:rsidR="004D0D5F" w:rsidRPr="004D0D5F" w:rsidRDefault="004D0D5F" w:rsidP="004D0D5F">
            <w:pPr>
              <w:pStyle w:val="ListParagraph"/>
              <w:numPr>
                <w:ilvl w:val="0"/>
                <w:numId w:val="18"/>
              </w:numPr>
              <w:rPr>
                <w:rFonts w:ascii="Times New Roman" w:hAnsi="Times New Roman" w:cs="Times New Roman"/>
              </w:rPr>
            </w:pPr>
            <w:r w:rsidRPr="004D0D5F">
              <w:rPr>
                <w:rFonts w:ascii="Times New Roman" w:hAnsi="Times New Roman" w:cs="Times New Roman"/>
              </w:rPr>
              <w:t>Academic Personnel Office will implement procedures developed in 3.7(A).</w:t>
            </w:r>
          </w:p>
          <w:p w14:paraId="7EBFC493" w14:textId="77777777" w:rsidR="0019737D" w:rsidRPr="00FF4F77" w:rsidRDefault="0019737D">
            <w:pPr>
              <w:rPr>
                <w:rFonts w:ascii="Times New Roman" w:hAnsi="Times New Roman" w:cs="Times New Roman"/>
              </w:rPr>
            </w:pPr>
          </w:p>
        </w:tc>
        <w:tc>
          <w:tcPr>
            <w:tcW w:w="1695" w:type="dxa"/>
          </w:tcPr>
          <w:p w14:paraId="1DE524AE" w14:textId="0838F9FE" w:rsidR="0019737D" w:rsidRPr="00FF4F77" w:rsidRDefault="00001C68">
            <w:pPr>
              <w:rPr>
                <w:rFonts w:ascii="Times New Roman" w:hAnsi="Times New Roman" w:cs="Times New Roman"/>
              </w:rPr>
            </w:pPr>
            <w:r>
              <w:rPr>
                <w:rFonts w:ascii="Times New Roman" w:hAnsi="Times New Roman" w:cs="Times New Roman"/>
              </w:rPr>
              <w:t>April 1, 2022</w:t>
            </w:r>
          </w:p>
        </w:tc>
      </w:tr>
      <w:tr w:rsidR="00261215" w:rsidRPr="00FF4F77" w14:paraId="23603688" w14:textId="77777777" w:rsidTr="00B31B67">
        <w:trPr>
          <w:cantSplit/>
        </w:trPr>
        <w:tc>
          <w:tcPr>
            <w:tcW w:w="9990" w:type="dxa"/>
            <w:gridSpan w:val="3"/>
            <w:shd w:val="clear" w:color="auto" w:fill="FFF2CC" w:themeFill="accent4" w:themeFillTint="33"/>
          </w:tcPr>
          <w:p w14:paraId="3B4F15E7" w14:textId="77777777" w:rsidR="00261215" w:rsidRDefault="00261215" w:rsidP="00976BE0">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Training and Awareness</w:t>
            </w:r>
          </w:p>
          <w:p w14:paraId="64080978" w14:textId="77777777" w:rsidR="00261215" w:rsidRPr="00FF4F77" w:rsidRDefault="00261215">
            <w:pPr>
              <w:rPr>
                <w:rFonts w:ascii="Times New Roman" w:hAnsi="Times New Roman" w:cs="Times New Roman"/>
              </w:rPr>
            </w:pPr>
          </w:p>
        </w:tc>
      </w:tr>
      <w:tr w:rsidR="004F79EC" w:rsidRPr="00FF4F77" w14:paraId="1F0990C5" w14:textId="77777777" w:rsidTr="004F79EC">
        <w:trPr>
          <w:cantSplit/>
        </w:trPr>
        <w:tc>
          <w:tcPr>
            <w:tcW w:w="4271" w:type="dxa"/>
          </w:tcPr>
          <w:p w14:paraId="3D18D580" w14:textId="77777777" w:rsidR="004F79EC" w:rsidRPr="0029100F" w:rsidRDefault="004F79EC" w:rsidP="004F79EC">
            <w:pPr>
              <w:pStyle w:val="ListParagraph"/>
              <w:numPr>
                <w:ilvl w:val="1"/>
                <w:numId w:val="11"/>
              </w:numPr>
              <w:spacing w:after="200"/>
              <w:rPr>
                <w:rFonts w:ascii="Times New Roman" w:hAnsi="Times New Roman" w:cs="Times New Roman"/>
              </w:rPr>
            </w:pPr>
            <w:r w:rsidRPr="0029100F">
              <w:rPr>
                <w:rFonts w:ascii="Times New Roman" w:hAnsi="Times New Roman" w:cs="Times New Roman"/>
              </w:rPr>
              <w:t>Implement the system-developed “Ethics and Compliance Briefing for Researchers” training module and require, at a minimum, all researchers receiving research funding complete the training biennially. Consider expanding the training audience to graduate students, visiting scholars, and grant key personnel.</w:t>
            </w:r>
          </w:p>
        </w:tc>
        <w:tc>
          <w:tcPr>
            <w:tcW w:w="4024" w:type="dxa"/>
          </w:tcPr>
          <w:p w14:paraId="7CC35E05" w14:textId="340BD005" w:rsidR="004F79EC" w:rsidRDefault="004F79EC" w:rsidP="004F79EC">
            <w:pPr>
              <w:pStyle w:val="ListParagraph"/>
              <w:numPr>
                <w:ilvl w:val="0"/>
                <w:numId w:val="19"/>
              </w:numPr>
              <w:rPr>
                <w:rFonts w:ascii="Times New Roman" w:hAnsi="Times New Roman" w:cs="Times New Roman"/>
              </w:rPr>
            </w:pPr>
            <w:r>
              <w:rPr>
                <w:rFonts w:ascii="Times New Roman" w:hAnsi="Times New Roman" w:cs="Times New Roman"/>
              </w:rPr>
              <w:t>Campus Compliance will form a workgroup of relevant stakeholders to review the system-developed “Ethics and Compliance Briefing for Researchers” training module and consider expanding training audience outside of the required population.</w:t>
            </w:r>
          </w:p>
          <w:p w14:paraId="6DFAF3CE" w14:textId="77777777" w:rsidR="004F79EC" w:rsidRDefault="004F79EC" w:rsidP="004F79EC">
            <w:pPr>
              <w:pStyle w:val="ListParagraph"/>
              <w:numPr>
                <w:ilvl w:val="0"/>
                <w:numId w:val="19"/>
              </w:numPr>
              <w:rPr>
                <w:rFonts w:ascii="Times New Roman" w:hAnsi="Times New Roman" w:cs="Times New Roman"/>
              </w:rPr>
            </w:pPr>
            <w:r>
              <w:rPr>
                <w:rFonts w:ascii="Times New Roman" w:hAnsi="Times New Roman" w:cs="Times New Roman"/>
              </w:rPr>
              <w:t>Campus Compliance will implement training to appropriate audience as determined in 4.6(A)</w:t>
            </w:r>
          </w:p>
          <w:p w14:paraId="4F6807C4" w14:textId="77777777" w:rsidR="004F79EC" w:rsidRPr="0029100F" w:rsidRDefault="004F79EC" w:rsidP="004F79EC">
            <w:pPr>
              <w:pStyle w:val="ListParagraph"/>
              <w:rPr>
                <w:rFonts w:ascii="Times New Roman" w:hAnsi="Times New Roman" w:cs="Times New Roman"/>
              </w:rPr>
            </w:pPr>
          </w:p>
        </w:tc>
        <w:tc>
          <w:tcPr>
            <w:tcW w:w="1695" w:type="dxa"/>
          </w:tcPr>
          <w:p w14:paraId="64FED3A0" w14:textId="0CDB45B7" w:rsidR="004F79EC" w:rsidRPr="00FF4F77" w:rsidRDefault="00001C68" w:rsidP="004F79EC">
            <w:pPr>
              <w:rPr>
                <w:rFonts w:ascii="Times New Roman" w:hAnsi="Times New Roman" w:cs="Times New Roman"/>
              </w:rPr>
            </w:pPr>
            <w:r>
              <w:rPr>
                <w:rFonts w:ascii="Times New Roman" w:hAnsi="Times New Roman" w:cs="Times New Roman"/>
              </w:rPr>
              <w:t>April 1, 2022</w:t>
            </w:r>
          </w:p>
        </w:tc>
      </w:tr>
      <w:tr w:rsidR="004F79EC" w:rsidRPr="00FF4F77" w14:paraId="26903D73" w14:textId="77777777" w:rsidTr="004F79EC">
        <w:trPr>
          <w:cantSplit/>
        </w:trPr>
        <w:tc>
          <w:tcPr>
            <w:tcW w:w="4271" w:type="dxa"/>
          </w:tcPr>
          <w:p w14:paraId="4D03A1C5" w14:textId="77777777" w:rsidR="004F79EC" w:rsidRPr="0019737D" w:rsidRDefault="004F79EC" w:rsidP="004F79EC">
            <w:pPr>
              <w:pStyle w:val="ListParagraph"/>
              <w:numPr>
                <w:ilvl w:val="1"/>
                <w:numId w:val="11"/>
              </w:numPr>
              <w:spacing w:after="200"/>
              <w:rPr>
                <w:rFonts w:ascii="Times New Roman" w:hAnsi="Times New Roman" w:cs="Times New Roman"/>
              </w:rPr>
            </w:pPr>
            <w:r w:rsidRPr="0064297A">
              <w:rPr>
                <w:rFonts w:ascii="Times New Roman" w:hAnsi="Times New Roman" w:cs="Times New Roman"/>
              </w:rPr>
              <w:t>Address consequences for non-compliance with the completion requirement for the mandatory systemwide training.</w:t>
            </w:r>
          </w:p>
        </w:tc>
        <w:tc>
          <w:tcPr>
            <w:tcW w:w="4024" w:type="dxa"/>
          </w:tcPr>
          <w:p w14:paraId="06C1C56F" w14:textId="0197B593" w:rsidR="004F79EC" w:rsidRPr="00FF4F77" w:rsidRDefault="00001C68" w:rsidP="004F79EC">
            <w:pPr>
              <w:rPr>
                <w:rFonts w:ascii="Times New Roman" w:hAnsi="Times New Roman" w:cs="Times New Roman"/>
              </w:rPr>
            </w:pPr>
            <w:r w:rsidRPr="00001C68">
              <w:rPr>
                <w:rFonts w:ascii="Times New Roman" w:hAnsi="Times New Roman" w:cs="Times New Roman"/>
              </w:rPr>
              <w:t>The training module implementation plan will address consequences for non-compliance.</w:t>
            </w:r>
          </w:p>
        </w:tc>
        <w:tc>
          <w:tcPr>
            <w:tcW w:w="1695" w:type="dxa"/>
          </w:tcPr>
          <w:p w14:paraId="52BFE3BA" w14:textId="341D6DB8" w:rsidR="004F79EC" w:rsidRPr="00FF4F77" w:rsidRDefault="00001C68" w:rsidP="004F79EC">
            <w:pPr>
              <w:rPr>
                <w:rFonts w:ascii="Times New Roman" w:hAnsi="Times New Roman" w:cs="Times New Roman"/>
              </w:rPr>
            </w:pPr>
            <w:r>
              <w:rPr>
                <w:rFonts w:ascii="Times New Roman" w:hAnsi="Times New Roman" w:cs="Times New Roman"/>
              </w:rPr>
              <w:t>April 1, 2022</w:t>
            </w:r>
          </w:p>
        </w:tc>
      </w:tr>
      <w:tr w:rsidR="009578D5" w:rsidRPr="00FF4F77" w14:paraId="11E4AD61" w14:textId="77777777" w:rsidTr="004F79EC">
        <w:trPr>
          <w:cantSplit/>
        </w:trPr>
        <w:tc>
          <w:tcPr>
            <w:tcW w:w="4271" w:type="dxa"/>
          </w:tcPr>
          <w:p w14:paraId="06922751" w14:textId="77777777" w:rsidR="009578D5" w:rsidRPr="0019737D" w:rsidRDefault="009578D5" w:rsidP="009578D5">
            <w:pPr>
              <w:pStyle w:val="ListParagraph"/>
              <w:numPr>
                <w:ilvl w:val="1"/>
                <w:numId w:val="11"/>
              </w:numPr>
              <w:spacing w:after="200"/>
              <w:rPr>
                <w:rFonts w:ascii="Times New Roman" w:hAnsi="Times New Roman" w:cs="Times New Roman"/>
              </w:rPr>
            </w:pPr>
            <w:r>
              <w:rPr>
                <w:rFonts w:ascii="Times New Roman" w:hAnsi="Times New Roman" w:cs="Times New Roman"/>
              </w:rPr>
              <w:t>Implement a local foreign influence risk communication plan, taking into consideration the systemwide guidance</w:t>
            </w:r>
          </w:p>
        </w:tc>
        <w:tc>
          <w:tcPr>
            <w:tcW w:w="4024" w:type="dxa"/>
          </w:tcPr>
          <w:p w14:paraId="2FFB0D4B" w14:textId="77777777" w:rsidR="009578D5" w:rsidRDefault="009578D5" w:rsidP="009578D5">
            <w:pPr>
              <w:pStyle w:val="ListParagraph"/>
              <w:numPr>
                <w:ilvl w:val="0"/>
                <w:numId w:val="20"/>
              </w:numPr>
              <w:rPr>
                <w:rFonts w:ascii="Times New Roman" w:hAnsi="Times New Roman" w:cs="Times New Roman"/>
              </w:rPr>
            </w:pPr>
            <w:r w:rsidRPr="0029100F">
              <w:rPr>
                <w:rFonts w:ascii="Times New Roman" w:hAnsi="Times New Roman" w:cs="Times New Roman"/>
              </w:rPr>
              <w:t xml:space="preserve">Following completion of the systemwide guidance of a foreign influence risk communication plan, Campus Compliance and </w:t>
            </w:r>
            <w:r>
              <w:rPr>
                <w:rFonts w:ascii="Times New Roman" w:hAnsi="Times New Roman" w:cs="Times New Roman"/>
              </w:rPr>
              <w:t>Research &amp; Creative Activities</w:t>
            </w:r>
            <w:r w:rsidRPr="0029100F">
              <w:rPr>
                <w:rFonts w:ascii="Times New Roman" w:hAnsi="Times New Roman" w:cs="Times New Roman"/>
              </w:rPr>
              <w:t xml:space="preserve"> will evaluate the systemwide guidance</w:t>
            </w:r>
            <w:r w:rsidR="00176C98">
              <w:rPr>
                <w:rFonts w:ascii="Times New Roman" w:hAnsi="Times New Roman" w:cs="Times New Roman"/>
              </w:rPr>
              <w:t xml:space="preserve">, </w:t>
            </w:r>
            <w:r>
              <w:rPr>
                <w:rFonts w:ascii="Times New Roman" w:hAnsi="Times New Roman" w:cs="Times New Roman"/>
              </w:rPr>
              <w:t>modify local plans as needed</w:t>
            </w:r>
            <w:r w:rsidR="00176C98">
              <w:rPr>
                <w:rFonts w:ascii="Times New Roman" w:hAnsi="Times New Roman" w:cs="Times New Roman"/>
              </w:rPr>
              <w:t>, and confer</w:t>
            </w:r>
            <w:r>
              <w:rPr>
                <w:rFonts w:ascii="Times New Roman" w:hAnsi="Times New Roman" w:cs="Times New Roman"/>
              </w:rPr>
              <w:t xml:space="preserve"> with others as appropriate.</w:t>
            </w:r>
          </w:p>
          <w:p w14:paraId="4D39B8EF" w14:textId="77777777" w:rsidR="009578D5" w:rsidRDefault="009578D5" w:rsidP="009578D5">
            <w:pPr>
              <w:pStyle w:val="ListParagraph"/>
              <w:numPr>
                <w:ilvl w:val="0"/>
                <w:numId w:val="20"/>
              </w:numPr>
              <w:rPr>
                <w:rFonts w:ascii="Times New Roman" w:hAnsi="Times New Roman" w:cs="Times New Roman"/>
              </w:rPr>
            </w:pPr>
            <w:r>
              <w:rPr>
                <w:rFonts w:ascii="Times New Roman" w:hAnsi="Times New Roman" w:cs="Times New Roman"/>
              </w:rPr>
              <w:t>Research &amp; Creative Activities will implement foreign influence risk communication plan developed in 4.8(A).</w:t>
            </w:r>
          </w:p>
          <w:p w14:paraId="3A7875A0" w14:textId="77777777" w:rsidR="009578D5" w:rsidRPr="0029100F" w:rsidRDefault="009578D5" w:rsidP="009578D5">
            <w:pPr>
              <w:pStyle w:val="ListParagraph"/>
              <w:rPr>
                <w:rFonts w:ascii="Times New Roman" w:hAnsi="Times New Roman" w:cs="Times New Roman"/>
              </w:rPr>
            </w:pPr>
          </w:p>
        </w:tc>
        <w:tc>
          <w:tcPr>
            <w:tcW w:w="1695" w:type="dxa"/>
          </w:tcPr>
          <w:p w14:paraId="3A455BEF" w14:textId="1545E2D9" w:rsidR="009578D5" w:rsidRPr="00FF4F77" w:rsidRDefault="00001C68" w:rsidP="009578D5">
            <w:pPr>
              <w:rPr>
                <w:rFonts w:ascii="Times New Roman" w:hAnsi="Times New Roman" w:cs="Times New Roman"/>
              </w:rPr>
            </w:pPr>
            <w:r>
              <w:rPr>
                <w:rFonts w:ascii="Times New Roman" w:hAnsi="Times New Roman" w:cs="Times New Roman"/>
              </w:rPr>
              <w:t>July 1, 2022</w:t>
            </w:r>
          </w:p>
        </w:tc>
      </w:tr>
      <w:tr w:rsidR="004F79EC" w:rsidRPr="00FF4F77" w14:paraId="42EC4AAB" w14:textId="77777777" w:rsidTr="00B31B67">
        <w:trPr>
          <w:cantSplit/>
        </w:trPr>
        <w:tc>
          <w:tcPr>
            <w:tcW w:w="9990" w:type="dxa"/>
            <w:gridSpan w:val="3"/>
            <w:shd w:val="clear" w:color="auto" w:fill="FFF2CC" w:themeFill="accent4" w:themeFillTint="33"/>
          </w:tcPr>
          <w:p w14:paraId="0CDC15A4" w14:textId="77777777" w:rsidR="004F79EC" w:rsidRDefault="004F79EC" w:rsidP="004F79EC">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lastRenderedPageBreak/>
              <w:t>Restricted Party Screening</w:t>
            </w:r>
          </w:p>
          <w:p w14:paraId="7236FF47" w14:textId="77777777" w:rsidR="004F79EC" w:rsidRPr="00FF4F77" w:rsidRDefault="004F79EC" w:rsidP="004F79EC">
            <w:pPr>
              <w:rPr>
                <w:rFonts w:ascii="Times New Roman" w:hAnsi="Times New Roman" w:cs="Times New Roman"/>
              </w:rPr>
            </w:pPr>
          </w:p>
        </w:tc>
      </w:tr>
      <w:tr w:rsidR="00176C98" w:rsidRPr="00FF4F77" w14:paraId="0C150ACC" w14:textId="77777777" w:rsidTr="004F79EC">
        <w:trPr>
          <w:cantSplit/>
        </w:trPr>
        <w:tc>
          <w:tcPr>
            <w:tcW w:w="4271" w:type="dxa"/>
          </w:tcPr>
          <w:p w14:paraId="7DF94FF8" w14:textId="6A932141" w:rsidR="00176C98" w:rsidRDefault="00176C98" w:rsidP="00176C98">
            <w:pPr>
              <w:pStyle w:val="ListParagraph"/>
              <w:numPr>
                <w:ilvl w:val="1"/>
                <w:numId w:val="4"/>
              </w:numPr>
              <w:spacing w:after="240"/>
              <w:ind w:left="330"/>
              <w:rPr>
                <w:rFonts w:ascii="Times New Roman" w:eastAsia="Calibri" w:hAnsi="Times New Roman" w:cs="Times New Roman"/>
                <w:szCs w:val="20"/>
              </w:rPr>
            </w:pPr>
            <w:r w:rsidRPr="00970702">
              <w:rPr>
                <w:rFonts w:ascii="Times New Roman" w:eastAsia="Calibri" w:hAnsi="Times New Roman" w:cs="Times New Roman"/>
                <w:szCs w:val="20"/>
              </w:rPr>
              <w:t>Create and implement export control procedures as outlined in the UC export control policy. At a minimum, these procedures should include:</w:t>
            </w:r>
          </w:p>
          <w:p w14:paraId="296FA610" w14:textId="77777777" w:rsidR="00172168" w:rsidRPr="00970702" w:rsidRDefault="00172168" w:rsidP="00172168">
            <w:pPr>
              <w:pStyle w:val="ListParagraph"/>
              <w:spacing w:after="240"/>
              <w:ind w:left="330"/>
              <w:rPr>
                <w:rFonts w:ascii="Times New Roman" w:eastAsia="Calibri" w:hAnsi="Times New Roman" w:cs="Times New Roman"/>
                <w:szCs w:val="20"/>
              </w:rPr>
            </w:pPr>
            <w:bookmarkStart w:id="1" w:name="_GoBack"/>
            <w:bookmarkEnd w:id="1"/>
          </w:p>
          <w:p w14:paraId="607DD2BB" w14:textId="77777777" w:rsidR="00176C98" w:rsidRPr="00970702" w:rsidRDefault="00176C98" w:rsidP="00176C98">
            <w:pPr>
              <w:pStyle w:val="ListParagraph"/>
              <w:numPr>
                <w:ilvl w:val="1"/>
                <w:numId w:val="5"/>
              </w:numPr>
              <w:spacing w:after="240"/>
              <w:ind w:left="600" w:hanging="240"/>
              <w:rPr>
                <w:rFonts w:ascii="Times New Roman" w:eastAsia="Calibri" w:hAnsi="Times New Roman" w:cs="Times New Roman"/>
                <w:szCs w:val="20"/>
              </w:rPr>
            </w:pPr>
            <w:r w:rsidRPr="00970702">
              <w:rPr>
                <w:rFonts w:ascii="Times New Roman" w:eastAsia="Calibri" w:hAnsi="Times New Roman" w:cs="Times New Roman"/>
                <w:szCs w:val="20"/>
              </w:rPr>
              <w:t>Defined roles and responsibilities for restricted party screening as outlined in the export control policy</w:t>
            </w:r>
          </w:p>
          <w:p w14:paraId="560A30AA" w14:textId="77777777" w:rsidR="00176C98" w:rsidRPr="00970702" w:rsidRDefault="00176C98" w:rsidP="00176C98">
            <w:pPr>
              <w:pStyle w:val="ListParagraph"/>
              <w:numPr>
                <w:ilvl w:val="1"/>
                <w:numId w:val="5"/>
              </w:numPr>
              <w:ind w:left="600" w:hanging="240"/>
              <w:contextualSpacing w:val="0"/>
              <w:rPr>
                <w:rFonts w:ascii="Times New Roman" w:eastAsia="Calibri" w:hAnsi="Times New Roman" w:cs="Times New Roman"/>
                <w:szCs w:val="20"/>
              </w:rPr>
            </w:pPr>
            <w:r w:rsidRPr="00970702">
              <w:rPr>
                <w:rFonts w:ascii="Times New Roman" w:eastAsia="Calibri" w:hAnsi="Times New Roman" w:cs="Times New Roman"/>
                <w:szCs w:val="20"/>
              </w:rPr>
              <w:t>Escalation procedures for positive screenings</w:t>
            </w:r>
          </w:p>
          <w:p w14:paraId="5FF9D6B4" w14:textId="77777777" w:rsidR="00176C98" w:rsidRPr="0019737D" w:rsidRDefault="00176C98" w:rsidP="00176C98">
            <w:pPr>
              <w:pStyle w:val="ListParagraph"/>
              <w:numPr>
                <w:ilvl w:val="1"/>
                <w:numId w:val="5"/>
              </w:numPr>
              <w:spacing w:after="240"/>
              <w:ind w:left="600" w:hanging="240"/>
              <w:contextualSpacing w:val="0"/>
              <w:rPr>
                <w:rFonts w:ascii="Times New Roman" w:eastAsia="Calibri" w:hAnsi="Times New Roman" w:cs="Times New Roman"/>
                <w:szCs w:val="20"/>
              </w:rPr>
            </w:pPr>
            <w:r w:rsidRPr="00970702">
              <w:rPr>
                <w:rFonts w:ascii="Times New Roman" w:eastAsia="Calibri" w:hAnsi="Times New Roman" w:cs="Times New Roman"/>
                <w:szCs w:val="20"/>
              </w:rPr>
              <w:t>Periodic ECO monitoring to ensure that the responsible parties are performing these procedures.</w:t>
            </w:r>
          </w:p>
        </w:tc>
        <w:tc>
          <w:tcPr>
            <w:tcW w:w="4024" w:type="dxa"/>
          </w:tcPr>
          <w:p w14:paraId="262F7F18" w14:textId="05282DC5" w:rsidR="00D463B7" w:rsidRPr="000E734A" w:rsidRDefault="00D463B7" w:rsidP="000E734A">
            <w:pPr>
              <w:spacing w:after="240"/>
              <w:rPr>
                <w:rFonts w:ascii="Times New Roman" w:hAnsi="Times New Roman" w:cs="Times New Roman"/>
              </w:rPr>
            </w:pPr>
            <w:r w:rsidRPr="000E734A">
              <w:rPr>
                <w:rFonts w:ascii="Times New Roman" w:hAnsi="Times New Roman" w:cs="Times New Roman"/>
              </w:rPr>
              <w:t>UCLA will create and implement export control procedures in compliance with the UC export control policy. In addition, these procedures will include the following:</w:t>
            </w:r>
          </w:p>
          <w:p w14:paraId="072B7D96" w14:textId="77777777" w:rsidR="00D463B7" w:rsidRPr="00D463B7" w:rsidRDefault="00D463B7" w:rsidP="00D463B7">
            <w:pPr>
              <w:pStyle w:val="ListParagraph"/>
              <w:numPr>
                <w:ilvl w:val="1"/>
                <w:numId w:val="5"/>
              </w:numPr>
              <w:spacing w:after="240"/>
              <w:rPr>
                <w:rFonts w:ascii="Times New Roman" w:hAnsi="Times New Roman" w:cs="Times New Roman"/>
              </w:rPr>
            </w:pPr>
            <w:r w:rsidRPr="00D463B7">
              <w:rPr>
                <w:rFonts w:ascii="Times New Roman" w:hAnsi="Times New Roman" w:cs="Times New Roman"/>
              </w:rPr>
              <w:t>Defined roles and responsibilities for restricted party screening;</w:t>
            </w:r>
          </w:p>
          <w:p w14:paraId="2A7D8A02" w14:textId="77777777" w:rsidR="00D463B7" w:rsidRPr="00D463B7" w:rsidRDefault="00D463B7" w:rsidP="00D463B7">
            <w:pPr>
              <w:pStyle w:val="ListParagraph"/>
              <w:numPr>
                <w:ilvl w:val="1"/>
                <w:numId w:val="5"/>
              </w:numPr>
              <w:spacing w:after="240"/>
              <w:rPr>
                <w:rFonts w:ascii="Times New Roman" w:hAnsi="Times New Roman" w:cs="Times New Roman"/>
              </w:rPr>
            </w:pPr>
            <w:r w:rsidRPr="00D463B7">
              <w:rPr>
                <w:rFonts w:ascii="Times New Roman" w:hAnsi="Times New Roman" w:cs="Times New Roman"/>
              </w:rPr>
              <w:t>Escalation procedures for positive screenings;</w:t>
            </w:r>
          </w:p>
          <w:p w14:paraId="2D243024" w14:textId="77777777" w:rsidR="00D463B7" w:rsidRPr="00D463B7" w:rsidRDefault="00D463B7" w:rsidP="00D463B7">
            <w:pPr>
              <w:pStyle w:val="ListParagraph"/>
              <w:numPr>
                <w:ilvl w:val="1"/>
                <w:numId w:val="5"/>
              </w:numPr>
              <w:spacing w:after="240"/>
              <w:rPr>
                <w:rFonts w:ascii="Times New Roman" w:hAnsi="Times New Roman" w:cs="Times New Roman"/>
              </w:rPr>
            </w:pPr>
            <w:r w:rsidRPr="00D463B7">
              <w:rPr>
                <w:rFonts w:ascii="Times New Roman" w:hAnsi="Times New Roman" w:cs="Times New Roman"/>
              </w:rPr>
              <w:t>Periodic ECO monitoring to ensure that the responsible parties are performing these procedures.</w:t>
            </w:r>
          </w:p>
          <w:p w14:paraId="02FC794C" w14:textId="6ABE3B92" w:rsidR="00526FE4" w:rsidRPr="00FF4F77" w:rsidRDefault="00526FE4" w:rsidP="00176C98">
            <w:pPr>
              <w:rPr>
                <w:rFonts w:ascii="Times New Roman" w:hAnsi="Times New Roman" w:cs="Times New Roman"/>
              </w:rPr>
            </w:pPr>
          </w:p>
        </w:tc>
        <w:tc>
          <w:tcPr>
            <w:tcW w:w="1695" w:type="dxa"/>
          </w:tcPr>
          <w:p w14:paraId="2AC614B4" w14:textId="1F004335" w:rsidR="00176C98" w:rsidRPr="00FF4F77" w:rsidRDefault="00001C68" w:rsidP="00176C98">
            <w:pPr>
              <w:rPr>
                <w:rFonts w:ascii="Times New Roman" w:hAnsi="Times New Roman" w:cs="Times New Roman"/>
              </w:rPr>
            </w:pPr>
            <w:r>
              <w:rPr>
                <w:rFonts w:ascii="Times New Roman" w:hAnsi="Times New Roman" w:cs="Times New Roman"/>
              </w:rPr>
              <w:t>October 1, 2022</w:t>
            </w:r>
          </w:p>
        </w:tc>
      </w:tr>
      <w:tr w:rsidR="00176C98" w:rsidRPr="00FF4F77" w14:paraId="4F9EAE70" w14:textId="77777777" w:rsidTr="004F79EC">
        <w:trPr>
          <w:cantSplit/>
        </w:trPr>
        <w:tc>
          <w:tcPr>
            <w:tcW w:w="4271" w:type="dxa"/>
          </w:tcPr>
          <w:p w14:paraId="1E4BF094" w14:textId="77777777" w:rsidR="00176C98" w:rsidRPr="0019737D" w:rsidRDefault="00176C98" w:rsidP="00176C98">
            <w:pPr>
              <w:pStyle w:val="ListParagraph"/>
              <w:numPr>
                <w:ilvl w:val="1"/>
                <w:numId w:val="4"/>
              </w:numPr>
              <w:spacing w:after="240"/>
              <w:ind w:left="330"/>
              <w:rPr>
                <w:rFonts w:ascii="Times New Roman" w:eastAsia="Calibri" w:hAnsi="Times New Roman" w:cs="Times New Roman"/>
                <w:szCs w:val="20"/>
              </w:rPr>
            </w:pPr>
            <w:r w:rsidRPr="0019737D">
              <w:rPr>
                <w:rFonts w:ascii="Times New Roman" w:eastAsia="Calibri" w:hAnsi="Times New Roman" w:cs="Times New Roman"/>
                <w:szCs w:val="20"/>
              </w:rPr>
              <w:t>Implement the system-developed training module to educate faculty and staff on the importance and requirement</w:t>
            </w:r>
            <w:r>
              <w:rPr>
                <w:rFonts w:ascii="Times New Roman" w:eastAsia="Calibri" w:hAnsi="Times New Roman" w:cs="Times New Roman"/>
                <w:szCs w:val="20"/>
              </w:rPr>
              <w:t>s of restricted party screening</w:t>
            </w:r>
          </w:p>
        </w:tc>
        <w:tc>
          <w:tcPr>
            <w:tcW w:w="4024" w:type="dxa"/>
          </w:tcPr>
          <w:p w14:paraId="625927A5" w14:textId="77777777" w:rsidR="00176C98" w:rsidRDefault="00176C98" w:rsidP="00176C98">
            <w:pPr>
              <w:rPr>
                <w:rFonts w:ascii="Times New Roman" w:hAnsi="Times New Roman" w:cs="Times New Roman"/>
              </w:rPr>
            </w:pPr>
            <w:r>
              <w:rPr>
                <w:rFonts w:ascii="Times New Roman" w:hAnsi="Times New Roman" w:cs="Times New Roman"/>
              </w:rPr>
              <w:t>Following the completion of a training module developed by ECAS and RPAC, with consultation from systemwide and campus export control officers, Research Policy &amp; Compliance will evaluate module to determine the appropriate audience to complete training and assign training to those individuals.</w:t>
            </w:r>
          </w:p>
          <w:p w14:paraId="1152C288" w14:textId="77777777" w:rsidR="00176C98" w:rsidRPr="00FF4F77" w:rsidRDefault="00176C98" w:rsidP="00176C98">
            <w:pPr>
              <w:rPr>
                <w:rFonts w:ascii="Times New Roman" w:hAnsi="Times New Roman" w:cs="Times New Roman"/>
              </w:rPr>
            </w:pPr>
          </w:p>
        </w:tc>
        <w:tc>
          <w:tcPr>
            <w:tcW w:w="1695" w:type="dxa"/>
          </w:tcPr>
          <w:p w14:paraId="2EFD89DD" w14:textId="681F02B2" w:rsidR="00176C98" w:rsidRPr="00FF4F77" w:rsidRDefault="00001C68" w:rsidP="00176C98">
            <w:pPr>
              <w:rPr>
                <w:rFonts w:ascii="Times New Roman" w:hAnsi="Times New Roman" w:cs="Times New Roman"/>
              </w:rPr>
            </w:pPr>
            <w:r>
              <w:rPr>
                <w:rFonts w:ascii="Times New Roman" w:hAnsi="Times New Roman" w:cs="Times New Roman"/>
              </w:rPr>
              <w:t>October 1, 2022</w:t>
            </w:r>
          </w:p>
        </w:tc>
      </w:tr>
      <w:tr w:rsidR="004F79EC" w:rsidRPr="00FF4F77" w14:paraId="42FA857C" w14:textId="77777777" w:rsidTr="00B31B67">
        <w:trPr>
          <w:cantSplit/>
        </w:trPr>
        <w:tc>
          <w:tcPr>
            <w:tcW w:w="9990" w:type="dxa"/>
            <w:gridSpan w:val="3"/>
            <w:shd w:val="clear" w:color="auto" w:fill="FFF2CC" w:themeFill="accent4" w:themeFillTint="33"/>
          </w:tcPr>
          <w:p w14:paraId="1596DFA6" w14:textId="77777777" w:rsidR="004F79EC" w:rsidRDefault="004F79EC" w:rsidP="004F79EC">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Export Control Red Flags</w:t>
            </w:r>
          </w:p>
          <w:p w14:paraId="580E986D" w14:textId="77777777" w:rsidR="004F79EC" w:rsidRPr="00FF4F77" w:rsidRDefault="004F79EC" w:rsidP="004F79EC">
            <w:pPr>
              <w:rPr>
                <w:rFonts w:ascii="Times New Roman" w:hAnsi="Times New Roman" w:cs="Times New Roman"/>
              </w:rPr>
            </w:pPr>
          </w:p>
        </w:tc>
      </w:tr>
      <w:tr w:rsidR="00176C98" w:rsidRPr="00FF4F77" w14:paraId="6972C52C" w14:textId="77777777" w:rsidTr="004F79EC">
        <w:trPr>
          <w:cantSplit/>
        </w:trPr>
        <w:tc>
          <w:tcPr>
            <w:tcW w:w="4271" w:type="dxa"/>
          </w:tcPr>
          <w:p w14:paraId="1FDFB181" w14:textId="77777777" w:rsidR="00176C98" w:rsidRPr="0019737D" w:rsidRDefault="00176C98" w:rsidP="00176C98">
            <w:pPr>
              <w:pStyle w:val="ListParagraph"/>
              <w:numPr>
                <w:ilvl w:val="0"/>
                <w:numId w:val="6"/>
              </w:numPr>
              <w:spacing w:after="240"/>
              <w:ind w:left="330"/>
              <w:contextualSpacing w:val="0"/>
              <w:rPr>
                <w:rFonts w:ascii="Times New Roman" w:eastAsiaTheme="minorEastAsia" w:hAnsi="Times New Roman" w:cs="Times New Roman"/>
                <w:szCs w:val="20"/>
              </w:rPr>
            </w:pPr>
            <w:r w:rsidRPr="00970702">
              <w:rPr>
                <w:rFonts w:ascii="Times New Roman" w:eastAsiaTheme="minorEastAsia" w:hAnsi="Times New Roman" w:cs="Times New Roman"/>
                <w:szCs w:val="20"/>
              </w:rPr>
              <w:t>Implement written procedures to address red flags in accordance with systemwide guidance, including escalation procedures that are specific to the location.</w:t>
            </w:r>
          </w:p>
        </w:tc>
        <w:tc>
          <w:tcPr>
            <w:tcW w:w="4024" w:type="dxa"/>
          </w:tcPr>
          <w:p w14:paraId="63A951F7" w14:textId="77777777" w:rsidR="00176C98" w:rsidRDefault="00176C98" w:rsidP="00176C98">
            <w:pPr>
              <w:rPr>
                <w:rFonts w:ascii="Times New Roman" w:hAnsi="Times New Roman" w:cs="Times New Roman"/>
              </w:rPr>
            </w:pPr>
            <w:r>
              <w:rPr>
                <w:rFonts w:ascii="Times New Roman" w:hAnsi="Times New Roman" w:cs="Times New Roman"/>
              </w:rPr>
              <w:t>Research Policy &amp; Compliance, with input from Office of Research Administration, will evaluate existing written procedures that address red flags following the completion of systemwide guidance developed by ECAS and RPAC. Research Policy &amp; Compliance will make modifications to written procedures as appropriate in coordination with Office of Research Administration.</w:t>
            </w:r>
          </w:p>
          <w:p w14:paraId="71BA6218" w14:textId="77777777" w:rsidR="00176C98" w:rsidRPr="00FF4F77" w:rsidRDefault="00176C98" w:rsidP="00176C98">
            <w:pPr>
              <w:rPr>
                <w:rFonts w:ascii="Times New Roman" w:hAnsi="Times New Roman" w:cs="Times New Roman"/>
              </w:rPr>
            </w:pPr>
          </w:p>
        </w:tc>
        <w:tc>
          <w:tcPr>
            <w:tcW w:w="1695" w:type="dxa"/>
          </w:tcPr>
          <w:p w14:paraId="16522C1B" w14:textId="7D1AB987" w:rsidR="00176C98" w:rsidRPr="00FF4F77" w:rsidRDefault="00001C68" w:rsidP="00176C98">
            <w:pPr>
              <w:rPr>
                <w:rFonts w:ascii="Times New Roman" w:hAnsi="Times New Roman" w:cs="Times New Roman"/>
              </w:rPr>
            </w:pPr>
            <w:r>
              <w:rPr>
                <w:rFonts w:ascii="Times New Roman" w:hAnsi="Times New Roman" w:cs="Times New Roman"/>
              </w:rPr>
              <w:t>October 1, 2022</w:t>
            </w:r>
          </w:p>
        </w:tc>
      </w:tr>
      <w:tr w:rsidR="00176C98" w:rsidRPr="00FF4F77" w14:paraId="55BBDD20" w14:textId="77777777" w:rsidTr="004F79EC">
        <w:trPr>
          <w:cantSplit/>
        </w:trPr>
        <w:tc>
          <w:tcPr>
            <w:tcW w:w="4271" w:type="dxa"/>
          </w:tcPr>
          <w:p w14:paraId="7303201E" w14:textId="77777777" w:rsidR="00176C98" w:rsidRPr="0019737D" w:rsidRDefault="00176C98" w:rsidP="00176C98">
            <w:pPr>
              <w:pStyle w:val="ListParagraph"/>
              <w:numPr>
                <w:ilvl w:val="1"/>
                <w:numId w:val="12"/>
              </w:numPr>
              <w:spacing w:after="240"/>
              <w:rPr>
                <w:rFonts w:ascii="Times New Roman" w:eastAsiaTheme="minorEastAsia" w:hAnsi="Times New Roman" w:cs="Times New Roman"/>
                <w:b/>
                <w:color w:val="000000" w:themeColor="text1"/>
              </w:rPr>
            </w:pPr>
            <w:r w:rsidRPr="0019737D">
              <w:rPr>
                <w:rFonts w:ascii="Times New Roman" w:eastAsiaTheme="minorEastAsia" w:hAnsi="Times New Roman" w:cs="Times New Roman"/>
                <w:szCs w:val="20"/>
              </w:rPr>
              <w:t>Develop localized training on the red flags procedures leveraging the systemwide training content and implement the training for appropriate personnel.</w:t>
            </w:r>
            <w:r>
              <w:rPr>
                <w:rFonts w:ascii="Times New Roman" w:eastAsiaTheme="minorEastAsia" w:hAnsi="Times New Roman" w:cs="Times New Roman"/>
                <w:szCs w:val="20"/>
              </w:rPr>
              <w:t xml:space="preserve"> </w:t>
            </w:r>
          </w:p>
        </w:tc>
        <w:tc>
          <w:tcPr>
            <w:tcW w:w="4024" w:type="dxa"/>
          </w:tcPr>
          <w:p w14:paraId="59F417C2" w14:textId="77777777" w:rsidR="00176C98" w:rsidRPr="00FF4F77" w:rsidRDefault="00176C98" w:rsidP="00176C98">
            <w:pPr>
              <w:rPr>
                <w:rFonts w:ascii="Times New Roman" w:hAnsi="Times New Roman" w:cs="Times New Roman"/>
              </w:rPr>
            </w:pPr>
            <w:r>
              <w:rPr>
                <w:rFonts w:ascii="Times New Roman" w:hAnsi="Times New Roman" w:cs="Times New Roman"/>
              </w:rPr>
              <w:t xml:space="preserve">Research Policy &amp; Compliance will evaluate systemwide </w:t>
            </w:r>
            <w:r w:rsidR="00715746">
              <w:rPr>
                <w:rFonts w:ascii="Times New Roman" w:hAnsi="Times New Roman" w:cs="Times New Roman"/>
              </w:rPr>
              <w:t xml:space="preserve">export controls red flags </w:t>
            </w:r>
            <w:r>
              <w:rPr>
                <w:rFonts w:ascii="Times New Roman" w:hAnsi="Times New Roman" w:cs="Times New Roman"/>
              </w:rPr>
              <w:t xml:space="preserve">training content and modify </w:t>
            </w:r>
            <w:r w:rsidR="00715746">
              <w:rPr>
                <w:rFonts w:ascii="Times New Roman" w:hAnsi="Times New Roman" w:cs="Times New Roman"/>
              </w:rPr>
              <w:t xml:space="preserve">and implement </w:t>
            </w:r>
            <w:r>
              <w:rPr>
                <w:rFonts w:ascii="Times New Roman" w:hAnsi="Times New Roman" w:cs="Times New Roman"/>
              </w:rPr>
              <w:t>localized training as appropriate.</w:t>
            </w:r>
          </w:p>
        </w:tc>
        <w:tc>
          <w:tcPr>
            <w:tcW w:w="1695" w:type="dxa"/>
          </w:tcPr>
          <w:p w14:paraId="044046DF" w14:textId="642B834B" w:rsidR="00176C98" w:rsidRPr="008C6AC6" w:rsidRDefault="00001C68" w:rsidP="00176C98">
            <w:pPr>
              <w:rPr>
                <w:rFonts w:ascii="Times New Roman" w:hAnsi="Times New Roman" w:cs="Times New Roman"/>
              </w:rPr>
            </w:pPr>
            <w:r>
              <w:rPr>
                <w:rFonts w:ascii="Times New Roman" w:hAnsi="Times New Roman" w:cs="Times New Roman"/>
              </w:rPr>
              <w:t>October 1, 2022</w:t>
            </w:r>
          </w:p>
          <w:p w14:paraId="30EB80E0" w14:textId="77777777" w:rsidR="00176C98" w:rsidRPr="008C6AC6" w:rsidRDefault="00176C98" w:rsidP="00176C98">
            <w:pPr>
              <w:pStyle w:val="ListParagraph"/>
              <w:ind w:left="360"/>
              <w:rPr>
                <w:rFonts w:ascii="Times New Roman" w:hAnsi="Times New Roman" w:cs="Times New Roman"/>
              </w:rPr>
            </w:pPr>
          </w:p>
        </w:tc>
      </w:tr>
      <w:tr w:rsidR="004F79EC" w:rsidRPr="00FF4F77" w14:paraId="58E5E58E" w14:textId="77777777" w:rsidTr="00B31B67">
        <w:trPr>
          <w:cantSplit/>
        </w:trPr>
        <w:tc>
          <w:tcPr>
            <w:tcW w:w="9990" w:type="dxa"/>
            <w:gridSpan w:val="3"/>
            <w:shd w:val="clear" w:color="auto" w:fill="FFF2CC" w:themeFill="accent4" w:themeFillTint="33"/>
          </w:tcPr>
          <w:p w14:paraId="231F06F8" w14:textId="77777777" w:rsidR="004F79EC" w:rsidRDefault="004F79EC" w:rsidP="004F79EC">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lastRenderedPageBreak/>
              <w:t>Vetting of International Scholars</w:t>
            </w:r>
          </w:p>
          <w:p w14:paraId="785B129C" w14:textId="77777777" w:rsidR="004F79EC" w:rsidRPr="00FF4F77" w:rsidRDefault="004F79EC" w:rsidP="004F79EC">
            <w:pPr>
              <w:rPr>
                <w:rFonts w:ascii="Times New Roman" w:hAnsi="Times New Roman" w:cs="Times New Roman"/>
              </w:rPr>
            </w:pPr>
          </w:p>
        </w:tc>
      </w:tr>
      <w:tr w:rsidR="00176C98" w:rsidRPr="00FF4F77" w14:paraId="72965805" w14:textId="77777777" w:rsidTr="004F79EC">
        <w:trPr>
          <w:cantSplit/>
        </w:trPr>
        <w:tc>
          <w:tcPr>
            <w:tcW w:w="4271" w:type="dxa"/>
          </w:tcPr>
          <w:p w14:paraId="06A44E3C" w14:textId="77777777" w:rsidR="00176C98" w:rsidRPr="00282FFA" w:rsidRDefault="00176C98" w:rsidP="00176C98">
            <w:pPr>
              <w:pStyle w:val="ListParagraph"/>
              <w:numPr>
                <w:ilvl w:val="1"/>
                <w:numId w:val="7"/>
              </w:numPr>
              <w:ind w:left="330"/>
              <w:rPr>
                <w:rFonts w:ascii="Times New Roman" w:eastAsia="Calibri" w:hAnsi="Times New Roman" w:cs="Times New Roman"/>
                <w:i/>
                <w:iCs/>
                <w:color w:val="000000" w:themeColor="text1"/>
              </w:rPr>
            </w:pPr>
            <w:r w:rsidRPr="00970702">
              <w:rPr>
                <w:rStyle w:val="IntenseEmphasis"/>
                <w:rFonts w:ascii="Times New Roman" w:eastAsia="Calibri" w:hAnsi="Times New Roman" w:cs="Times New Roman"/>
                <w:i w:val="0"/>
                <w:color w:val="000000" w:themeColor="text1"/>
              </w:rPr>
              <w:t>Implement the systemwide guidance</w:t>
            </w:r>
            <w:r w:rsidRPr="00970702">
              <w:rPr>
                <w:rFonts w:ascii="Times New Roman" w:hAnsi="Times New Roman" w:cs="Times New Roman"/>
                <w:i/>
              </w:rPr>
              <w:t>,</w:t>
            </w:r>
            <w:r w:rsidRPr="00970702">
              <w:rPr>
                <w:rFonts w:ascii="Times New Roman" w:hAnsi="Times New Roman" w:cs="Times New Roman"/>
              </w:rPr>
              <w:t xml:space="preserve"> vis-à-vis the location’s infrastructure, resource, communication and IT systems, etc., in the form of local procedures, which should include escalation procedures that are specific to the location.</w:t>
            </w:r>
          </w:p>
          <w:p w14:paraId="6859F882" w14:textId="77777777" w:rsidR="00176C98" w:rsidRPr="00261215" w:rsidRDefault="00176C98" w:rsidP="00176C98">
            <w:pPr>
              <w:pStyle w:val="ListParagraph"/>
              <w:ind w:left="330"/>
              <w:rPr>
                <w:rFonts w:ascii="Times New Roman" w:eastAsia="Calibri" w:hAnsi="Times New Roman" w:cs="Times New Roman"/>
                <w:i/>
                <w:iCs/>
                <w:color w:val="000000" w:themeColor="text1"/>
              </w:rPr>
            </w:pPr>
          </w:p>
        </w:tc>
        <w:tc>
          <w:tcPr>
            <w:tcW w:w="4024" w:type="dxa"/>
          </w:tcPr>
          <w:p w14:paraId="5E9F9394" w14:textId="77777777" w:rsidR="00176C98" w:rsidRPr="00FF4F77" w:rsidRDefault="00176C98" w:rsidP="00176C98">
            <w:pPr>
              <w:rPr>
                <w:rFonts w:ascii="Times New Roman" w:hAnsi="Times New Roman" w:cs="Times New Roman"/>
              </w:rPr>
            </w:pPr>
            <w:r>
              <w:rPr>
                <w:rFonts w:ascii="Times New Roman" w:hAnsi="Times New Roman" w:cs="Times New Roman"/>
              </w:rPr>
              <w:t xml:space="preserve">Following developed guidance from ECAS and RPAC, Research Policy &amp; Compliance will evaluate guidance </w:t>
            </w:r>
            <w:r w:rsidR="00715746">
              <w:rPr>
                <w:rFonts w:ascii="Times New Roman" w:hAnsi="Times New Roman" w:cs="Times New Roman"/>
              </w:rPr>
              <w:t xml:space="preserve">on vetting international scholars </w:t>
            </w:r>
            <w:r>
              <w:rPr>
                <w:rFonts w:ascii="Times New Roman" w:hAnsi="Times New Roman" w:cs="Times New Roman"/>
              </w:rPr>
              <w:t>and modify local procedures as appropriate.</w:t>
            </w:r>
          </w:p>
        </w:tc>
        <w:tc>
          <w:tcPr>
            <w:tcW w:w="1695" w:type="dxa"/>
          </w:tcPr>
          <w:p w14:paraId="2AED7460" w14:textId="7A4491D8" w:rsidR="00176C98" w:rsidRPr="00FF4F77" w:rsidRDefault="00001C68" w:rsidP="00176C98">
            <w:pPr>
              <w:rPr>
                <w:rFonts w:ascii="Times New Roman" w:hAnsi="Times New Roman" w:cs="Times New Roman"/>
              </w:rPr>
            </w:pPr>
            <w:r>
              <w:rPr>
                <w:rFonts w:ascii="Times New Roman" w:hAnsi="Times New Roman" w:cs="Times New Roman"/>
              </w:rPr>
              <w:t>October 1, 2022</w:t>
            </w:r>
          </w:p>
        </w:tc>
      </w:tr>
      <w:tr w:rsidR="004F79EC" w:rsidRPr="00FF4F77" w14:paraId="5AF27F65" w14:textId="77777777" w:rsidTr="00B31B67">
        <w:trPr>
          <w:cantSplit/>
        </w:trPr>
        <w:tc>
          <w:tcPr>
            <w:tcW w:w="9990" w:type="dxa"/>
            <w:gridSpan w:val="3"/>
            <w:shd w:val="clear" w:color="auto" w:fill="FFF2CC" w:themeFill="accent4" w:themeFillTint="33"/>
          </w:tcPr>
          <w:p w14:paraId="0CBBAD28" w14:textId="77777777" w:rsidR="004F79EC" w:rsidRDefault="004F79EC" w:rsidP="004F79EC">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Research Data Protections</w:t>
            </w:r>
          </w:p>
          <w:p w14:paraId="16EE9C65" w14:textId="77777777" w:rsidR="004F79EC" w:rsidRPr="00FF4F77" w:rsidRDefault="004F79EC" w:rsidP="004F79EC">
            <w:pPr>
              <w:rPr>
                <w:rFonts w:ascii="Times New Roman" w:hAnsi="Times New Roman" w:cs="Times New Roman"/>
              </w:rPr>
            </w:pPr>
          </w:p>
        </w:tc>
      </w:tr>
      <w:tr w:rsidR="008B2F52" w:rsidRPr="00FF4F77" w14:paraId="453C21C7" w14:textId="77777777" w:rsidTr="004F79EC">
        <w:trPr>
          <w:cantSplit/>
        </w:trPr>
        <w:tc>
          <w:tcPr>
            <w:tcW w:w="4271" w:type="dxa"/>
          </w:tcPr>
          <w:p w14:paraId="240E2214" w14:textId="77777777" w:rsidR="008B2F52" w:rsidRPr="00970702" w:rsidRDefault="008B2F52" w:rsidP="008B2F52">
            <w:pPr>
              <w:pStyle w:val="ListParagraph"/>
              <w:numPr>
                <w:ilvl w:val="1"/>
                <w:numId w:val="8"/>
              </w:numPr>
              <w:ind w:left="330"/>
              <w:rPr>
                <w:rStyle w:val="IntenseEmphasis"/>
                <w:rFonts w:ascii="Times New Roman" w:eastAsia="Calibri" w:hAnsi="Times New Roman" w:cs="Times New Roman"/>
                <w:i w:val="0"/>
                <w:color w:val="000000" w:themeColor="text1"/>
              </w:rPr>
            </w:pPr>
            <w:r w:rsidRPr="00970702">
              <w:rPr>
                <w:rStyle w:val="IntenseEmphasis"/>
                <w:rFonts w:ascii="Times New Roman" w:eastAsia="Calibri" w:hAnsi="Times New Roman" w:cs="Times New Roman"/>
                <w:bCs/>
                <w:i w:val="0"/>
                <w:color w:val="000000" w:themeColor="text1"/>
                <w:szCs w:val="24"/>
              </w:rPr>
              <w:t>Implement guidelines for compliance with UC Research Data and Tangible Research Materials policy. At a minimum, these guidelines should establish responsibility for tracking compliance with sponsor research data protection requirements.</w:t>
            </w:r>
          </w:p>
          <w:p w14:paraId="4D3E31AE" w14:textId="77777777" w:rsidR="008B2F52" w:rsidRPr="002B3F20" w:rsidRDefault="008B2F52" w:rsidP="008B2F52">
            <w:pPr>
              <w:rPr>
                <w:rFonts w:ascii="Times New Roman" w:hAnsi="Times New Roman" w:cs="Times New Roman"/>
                <w:b/>
                <w:sz w:val="24"/>
                <w:szCs w:val="24"/>
              </w:rPr>
            </w:pPr>
          </w:p>
          <w:p w14:paraId="6604C6F0" w14:textId="77777777" w:rsidR="008B2F52" w:rsidRPr="00FF4F77" w:rsidRDefault="008B2F52" w:rsidP="008B2F52">
            <w:pPr>
              <w:rPr>
                <w:rFonts w:ascii="Times New Roman" w:hAnsi="Times New Roman" w:cs="Times New Roman"/>
              </w:rPr>
            </w:pPr>
          </w:p>
        </w:tc>
        <w:tc>
          <w:tcPr>
            <w:tcW w:w="4024" w:type="dxa"/>
          </w:tcPr>
          <w:p w14:paraId="6050C026" w14:textId="77777777" w:rsidR="008B2F52" w:rsidRPr="00FF4F77" w:rsidRDefault="008B2F52" w:rsidP="008B2F52">
            <w:pPr>
              <w:rPr>
                <w:rFonts w:ascii="Times New Roman" w:hAnsi="Times New Roman" w:cs="Times New Roman"/>
              </w:rPr>
            </w:pPr>
            <w:r>
              <w:rPr>
                <w:rFonts w:ascii="Times New Roman" w:hAnsi="Times New Roman" w:cs="Times New Roman"/>
              </w:rPr>
              <w:t>Following the completion of the UC Research Data and Tangible Research Materials Policy, Research Policy &amp; Compliance will evaluate the policy to implement local guidelines as appropriate.</w:t>
            </w:r>
          </w:p>
        </w:tc>
        <w:tc>
          <w:tcPr>
            <w:tcW w:w="1695" w:type="dxa"/>
          </w:tcPr>
          <w:p w14:paraId="14E85F47" w14:textId="01147E4B" w:rsidR="008B2F52" w:rsidRDefault="00001C68" w:rsidP="008B2F52">
            <w:pPr>
              <w:rPr>
                <w:rFonts w:ascii="Times New Roman" w:hAnsi="Times New Roman" w:cs="Times New Roman"/>
              </w:rPr>
            </w:pPr>
            <w:r>
              <w:rPr>
                <w:rFonts w:ascii="Times New Roman" w:hAnsi="Times New Roman" w:cs="Times New Roman"/>
              </w:rPr>
              <w:t>October 1, 2022</w:t>
            </w:r>
          </w:p>
          <w:p w14:paraId="319BE8BB" w14:textId="77777777" w:rsidR="008B2F52" w:rsidRPr="00FF4F77" w:rsidRDefault="008B2F52" w:rsidP="008B2F52">
            <w:pPr>
              <w:rPr>
                <w:rFonts w:ascii="Times New Roman" w:hAnsi="Times New Roman" w:cs="Times New Roman"/>
              </w:rPr>
            </w:pPr>
          </w:p>
        </w:tc>
      </w:tr>
      <w:tr w:rsidR="004F79EC" w:rsidRPr="00FF4F77" w14:paraId="37C5A23F" w14:textId="77777777" w:rsidTr="00B31B67">
        <w:trPr>
          <w:cantSplit/>
        </w:trPr>
        <w:tc>
          <w:tcPr>
            <w:tcW w:w="9990" w:type="dxa"/>
            <w:gridSpan w:val="3"/>
            <w:shd w:val="clear" w:color="auto" w:fill="FFF2CC" w:themeFill="accent4" w:themeFillTint="33"/>
          </w:tcPr>
          <w:p w14:paraId="2EE8B2F3" w14:textId="77777777" w:rsidR="004F79EC" w:rsidRDefault="004F79EC" w:rsidP="004F79EC">
            <w:pPr>
              <w:pStyle w:val="Heading2"/>
              <w:numPr>
                <w:ilvl w:val="0"/>
                <w:numId w:val="1"/>
              </w:numPr>
              <w:spacing w:before="0"/>
              <w:ind w:left="330"/>
              <w:outlineLvl w:val="1"/>
              <w:rPr>
                <w:rFonts w:ascii="Times New Roman" w:eastAsiaTheme="minorEastAsia" w:hAnsi="Times New Roman" w:cs="Times New Roman"/>
                <w:b/>
                <w:color w:val="000000" w:themeColor="text1"/>
              </w:rPr>
            </w:pPr>
            <w:r>
              <w:rPr>
                <w:rFonts w:ascii="Times New Roman" w:eastAsiaTheme="minorEastAsia" w:hAnsi="Times New Roman" w:cs="Times New Roman"/>
                <w:b/>
                <w:color w:val="000000" w:themeColor="text1"/>
              </w:rPr>
              <w:t>Oversight of Foreign Gifts and Contracts Reporting</w:t>
            </w:r>
          </w:p>
          <w:p w14:paraId="3025DE15" w14:textId="77777777" w:rsidR="004F79EC" w:rsidRPr="00FF4F77" w:rsidRDefault="004F79EC" w:rsidP="004F79EC">
            <w:pPr>
              <w:rPr>
                <w:rFonts w:ascii="Times New Roman" w:hAnsi="Times New Roman" w:cs="Times New Roman"/>
              </w:rPr>
            </w:pPr>
          </w:p>
        </w:tc>
      </w:tr>
      <w:tr w:rsidR="008B2F52" w:rsidRPr="00FF4F77" w14:paraId="3C3F80CD" w14:textId="77777777" w:rsidTr="004F79EC">
        <w:trPr>
          <w:cantSplit/>
        </w:trPr>
        <w:tc>
          <w:tcPr>
            <w:tcW w:w="4271" w:type="dxa"/>
          </w:tcPr>
          <w:p w14:paraId="33EE23D4" w14:textId="77777777" w:rsidR="008B2F52" w:rsidRPr="00261215" w:rsidRDefault="008B2F52" w:rsidP="008B2F52">
            <w:pPr>
              <w:pStyle w:val="ListParagraph"/>
              <w:numPr>
                <w:ilvl w:val="1"/>
                <w:numId w:val="9"/>
              </w:numPr>
              <w:spacing w:after="240"/>
              <w:ind w:left="330"/>
              <w:rPr>
                <w:rFonts w:ascii="Times New Roman" w:eastAsia="Calibri" w:hAnsi="Times New Roman" w:cs="Times New Roman"/>
                <w:i/>
                <w:iCs/>
                <w:color w:val="000000" w:themeColor="text1"/>
              </w:rPr>
            </w:pPr>
            <w:r w:rsidRPr="00970702">
              <w:rPr>
                <w:rStyle w:val="IntenseEmphasis"/>
                <w:rFonts w:ascii="Times New Roman" w:eastAsia="Calibri" w:hAnsi="Times New Roman" w:cs="Times New Roman"/>
                <w:i w:val="0"/>
                <w:color w:val="000000" w:themeColor="text1"/>
              </w:rPr>
              <w:t xml:space="preserve">Convene a working group or committee to oversee Section 117 reporting that consists of representatives from all reporting departments. The working group should identify a central office with the appropriate </w:t>
            </w:r>
            <w:r w:rsidRPr="00A40964">
              <w:rPr>
                <w:rFonts w:ascii="Times New Roman" w:hAnsi="Times New Roman" w:cs="Times New Roman"/>
              </w:rPr>
              <w:t>knowledge of the U.S. Department of Education requirements to review each Section 117 report prior to submission</w:t>
            </w:r>
            <w:r w:rsidRPr="00A40964">
              <w:rPr>
                <w:rStyle w:val="IntenseEmphasis"/>
                <w:rFonts w:ascii="Times New Roman" w:eastAsia="Calibri" w:hAnsi="Times New Roman" w:cs="Times New Roman"/>
                <w:color w:val="000000" w:themeColor="text1"/>
              </w:rPr>
              <w:t>.</w:t>
            </w:r>
          </w:p>
        </w:tc>
        <w:tc>
          <w:tcPr>
            <w:tcW w:w="4024" w:type="dxa"/>
          </w:tcPr>
          <w:p w14:paraId="51E146CB" w14:textId="77777777" w:rsidR="008B2F52" w:rsidRPr="00FF4F77" w:rsidRDefault="008B2F52" w:rsidP="008B2F52">
            <w:pPr>
              <w:rPr>
                <w:rFonts w:ascii="Times New Roman" w:hAnsi="Times New Roman" w:cs="Times New Roman"/>
              </w:rPr>
            </w:pPr>
            <w:r>
              <w:rPr>
                <w:rFonts w:ascii="Times New Roman" w:hAnsi="Times New Roman" w:cs="Times New Roman"/>
              </w:rPr>
              <w:t>UCLA has created a working group in response to Section 117 reporting. Campus Compliance has been identified as the central office to review Section 117 reports prior to submission.</w:t>
            </w:r>
          </w:p>
        </w:tc>
        <w:tc>
          <w:tcPr>
            <w:tcW w:w="1695" w:type="dxa"/>
          </w:tcPr>
          <w:p w14:paraId="4A65BE3A" w14:textId="287A5464" w:rsidR="008B2F52" w:rsidRPr="00FF4F77" w:rsidRDefault="00B2210C" w:rsidP="008B2F52">
            <w:pPr>
              <w:rPr>
                <w:rFonts w:ascii="Times New Roman" w:hAnsi="Times New Roman" w:cs="Times New Roman"/>
              </w:rPr>
            </w:pPr>
            <w:r>
              <w:rPr>
                <w:rFonts w:ascii="Times New Roman" w:hAnsi="Times New Roman" w:cs="Times New Roman"/>
              </w:rPr>
              <w:t>January 1, 2022</w:t>
            </w:r>
          </w:p>
        </w:tc>
      </w:tr>
      <w:tr w:rsidR="0047148E" w:rsidRPr="00FF4F77" w14:paraId="08A8DB9D" w14:textId="77777777" w:rsidTr="004F79EC">
        <w:trPr>
          <w:cantSplit/>
        </w:trPr>
        <w:tc>
          <w:tcPr>
            <w:tcW w:w="4271" w:type="dxa"/>
          </w:tcPr>
          <w:p w14:paraId="6B3D081E" w14:textId="77777777" w:rsidR="0047148E" w:rsidRPr="00261215" w:rsidRDefault="0047148E" w:rsidP="0047148E">
            <w:pPr>
              <w:pStyle w:val="ListParagraph"/>
              <w:numPr>
                <w:ilvl w:val="1"/>
                <w:numId w:val="9"/>
              </w:numPr>
              <w:spacing w:after="240"/>
              <w:ind w:left="330"/>
              <w:rPr>
                <w:rFonts w:ascii="Times New Roman" w:hAnsi="Times New Roman" w:cs="Times New Roman"/>
                <w:i/>
              </w:rPr>
            </w:pPr>
            <w:r w:rsidRPr="00261215">
              <w:rPr>
                <w:rStyle w:val="IntenseEmphasis"/>
                <w:rFonts w:ascii="Times New Roman" w:eastAsia="Calibri" w:hAnsi="Times New Roman" w:cs="Times New Roman"/>
                <w:i w:val="0"/>
                <w:color w:val="000000" w:themeColor="text1"/>
              </w:rPr>
              <w:t>Establish protocols to ensure individuals responsible for making determinations on selling membership agreements are not</w:t>
            </w:r>
            <w:r>
              <w:rPr>
                <w:rStyle w:val="IntenseEmphasis"/>
                <w:rFonts w:ascii="Times New Roman" w:eastAsia="Calibri" w:hAnsi="Times New Roman" w:cs="Times New Roman"/>
                <w:i w:val="0"/>
                <w:color w:val="000000" w:themeColor="text1"/>
              </w:rPr>
              <w:t xml:space="preserve"> also</w:t>
            </w:r>
            <w:r w:rsidRPr="00261215">
              <w:rPr>
                <w:rStyle w:val="IntenseEmphasis"/>
                <w:rFonts w:ascii="Times New Roman" w:eastAsia="Calibri" w:hAnsi="Times New Roman" w:cs="Times New Roman"/>
                <w:i w:val="0"/>
                <w:color w:val="000000" w:themeColor="text1"/>
              </w:rPr>
              <w:t xml:space="preserve"> receiving the benefit from associated</w:t>
            </w:r>
            <w:r>
              <w:rPr>
                <w:rStyle w:val="IntenseEmphasis"/>
                <w:rFonts w:ascii="Times New Roman" w:eastAsia="Calibri" w:hAnsi="Times New Roman" w:cs="Times New Roman"/>
                <w:i w:val="0"/>
                <w:color w:val="000000" w:themeColor="text1"/>
              </w:rPr>
              <w:t xml:space="preserve"> fees.</w:t>
            </w:r>
          </w:p>
        </w:tc>
        <w:tc>
          <w:tcPr>
            <w:tcW w:w="4024" w:type="dxa"/>
          </w:tcPr>
          <w:p w14:paraId="1F6D6A53" w14:textId="77777777" w:rsidR="0047148E" w:rsidRDefault="0047148E" w:rsidP="0047148E">
            <w:pPr>
              <w:rPr>
                <w:rFonts w:ascii="Times New Roman" w:hAnsi="Times New Roman" w:cs="Times New Roman"/>
              </w:rPr>
            </w:pPr>
            <w:r>
              <w:rPr>
                <w:rFonts w:ascii="Times New Roman" w:hAnsi="Times New Roman" w:cs="Times New Roman"/>
              </w:rPr>
              <w:t>Campus Compliance will evaluate membership agreements on campus to confirm protocols are established to ensure individuals responsible for making determinations on selling membership agreements are not receiving the benefit from associated fees.</w:t>
            </w:r>
          </w:p>
          <w:p w14:paraId="4394BCB5" w14:textId="77777777" w:rsidR="0047148E" w:rsidRPr="00FF4F77" w:rsidRDefault="0047148E" w:rsidP="0047148E">
            <w:pPr>
              <w:rPr>
                <w:rFonts w:ascii="Times New Roman" w:hAnsi="Times New Roman" w:cs="Times New Roman"/>
              </w:rPr>
            </w:pPr>
          </w:p>
        </w:tc>
        <w:tc>
          <w:tcPr>
            <w:tcW w:w="1695" w:type="dxa"/>
          </w:tcPr>
          <w:p w14:paraId="3C183B54" w14:textId="7804390C" w:rsidR="0047148E" w:rsidRPr="00FF4F77" w:rsidRDefault="00B2210C" w:rsidP="0047148E">
            <w:pPr>
              <w:rPr>
                <w:rFonts w:ascii="Times New Roman" w:hAnsi="Times New Roman" w:cs="Times New Roman"/>
              </w:rPr>
            </w:pPr>
            <w:r>
              <w:rPr>
                <w:rFonts w:ascii="Times New Roman" w:hAnsi="Times New Roman" w:cs="Times New Roman"/>
              </w:rPr>
              <w:t>January 1, 2022</w:t>
            </w:r>
          </w:p>
        </w:tc>
      </w:tr>
    </w:tbl>
    <w:p w14:paraId="6498EF2C" w14:textId="1DC68A16" w:rsidR="001D014E" w:rsidRDefault="001D014E" w:rsidP="001D014E">
      <w:pPr>
        <w:spacing w:after="0" w:line="240" w:lineRule="auto"/>
        <w:ind w:hanging="360"/>
        <w:rPr>
          <w:rFonts w:ascii="Times New Roman" w:hAnsi="Times New Roman" w:cs="Times New Roman"/>
        </w:rPr>
      </w:pPr>
    </w:p>
    <w:p w14:paraId="022F2A40" w14:textId="2670DDD0" w:rsidR="001D014E" w:rsidRDefault="001D014E" w:rsidP="001D014E">
      <w:pPr>
        <w:spacing w:after="0" w:line="240" w:lineRule="auto"/>
        <w:ind w:left="-900" w:firstLine="540"/>
        <w:rPr>
          <w:rFonts w:ascii="Arial" w:eastAsia="Times New Roman" w:hAnsi="Arial" w:cs="Arial"/>
          <w:sz w:val="16"/>
          <w:szCs w:val="16"/>
        </w:rPr>
      </w:pPr>
      <w:r w:rsidRPr="007448F3">
        <w:rPr>
          <w:rFonts w:ascii="Arial" w:eastAsia="Times New Roman" w:hAnsi="Arial" w:cs="Arial"/>
          <w:sz w:val="16"/>
          <w:szCs w:val="16"/>
        </w:rPr>
        <w:t>21</w:t>
      </w:r>
      <w:r w:rsidR="00A0696A">
        <w:rPr>
          <w:rFonts w:ascii="Arial" w:eastAsia="Times New Roman" w:hAnsi="Arial" w:cs="Arial"/>
          <w:sz w:val="16"/>
          <w:szCs w:val="16"/>
        </w:rPr>
        <w:t>1014</w:t>
      </w:r>
      <w:r w:rsidRPr="007448F3">
        <w:rPr>
          <w:rFonts w:ascii="Arial" w:eastAsia="Times New Roman" w:hAnsi="Arial" w:cs="Arial"/>
          <w:sz w:val="16"/>
          <w:szCs w:val="16"/>
        </w:rPr>
        <w:t>-</w:t>
      </w:r>
      <w:r w:rsidR="00A0696A">
        <w:rPr>
          <w:rFonts w:ascii="Arial" w:eastAsia="Times New Roman" w:hAnsi="Arial" w:cs="Arial"/>
          <w:sz w:val="16"/>
          <w:szCs w:val="16"/>
        </w:rPr>
        <w:t>4</w:t>
      </w:r>
    </w:p>
    <w:p w14:paraId="66747C04" w14:textId="77777777" w:rsidR="001D014E" w:rsidRPr="00E65017" w:rsidRDefault="001D014E" w:rsidP="001D014E">
      <w:pPr>
        <w:spacing w:after="0" w:line="240" w:lineRule="auto"/>
        <w:ind w:left="-900" w:firstLine="540"/>
        <w:rPr>
          <w:rFonts w:ascii="Arial" w:eastAsia="Times New Roman" w:hAnsi="Arial" w:cs="Arial"/>
          <w:sz w:val="16"/>
          <w:szCs w:val="16"/>
        </w:rPr>
      </w:pPr>
      <w:r w:rsidRPr="00E65017">
        <w:rPr>
          <w:rFonts w:ascii="Arial" w:eastAsia="Times New Roman" w:hAnsi="Arial" w:cs="Arial"/>
          <w:sz w:val="16"/>
          <w:szCs w:val="16"/>
        </w:rPr>
        <w:t>REP</w:t>
      </w:r>
    </w:p>
    <w:p w14:paraId="0DFB711D" w14:textId="77777777" w:rsidR="001D014E" w:rsidRPr="00FF4F77" w:rsidRDefault="001D014E">
      <w:pPr>
        <w:rPr>
          <w:rFonts w:ascii="Times New Roman" w:hAnsi="Times New Roman" w:cs="Times New Roman"/>
        </w:rPr>
      </w:pPr>
    </w:p>
    <w:sectPr w:rsidR="001D014E" w:rsidRPr="00FF4F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E45DE" w14:textId="77777777" w:rsidR="001D014E" w:rsidRDefault="001D014E" w:rsidP="00FF4F77">
      <w:pPr>
        <w:spacing w:after="0" w:line="240" w:lineRule="auto"/>
      </w:pPr>
      <w:r>
        <w:separator/>
      </w:r>
    </w:p>
  </w:endnote>
  <w:endnote w:type="continuationSeparator" w:id="0">
    <w:p w14:paraId="336F151B" w14:textId="77777777" w:rsidR="001D014E" w:rsidRDefault="001D014E" w:rsidP="00FF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F50D" w14:textId="77777777" w:rsidR="001D014E" w:rsidRDefault="001D014E" w:rsidP="00FF4F77">
      <w:pPr>
        <w:spacing w:after="0" w:line="240" w:lineRule="auto"/>
      </w:pPr>
      <w:r>
        <w:separator/>
      </w:r>
    </w:p>
  </w:footnote>
  <w:footnote w:type="continuationSeparator" w:id="0">
    <w:p w14:paraId="0D04AF48" w14:textId="77777777" w:rsidR="001D014E" w:rsidRDefault="001D014E" w:rsidP="00FF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0B290" w14:textId="77777777" w:rsidR="001D014E" w:rsidRPr="00FF4F77" w:rsidRDefault="001D014E" w:rsidP="00FF4F77">
    <w:pPr>
      <w:pStyle w:val="Header"/>
      <w:jc w:val="center"/>
      <w:rPr>
        <w:rFonts w:ascii="Times New Roman" w:hAnsi="Times New Roman" w:cs="Times New Roman"/>
        <w:b/>
        <w:sz w:val="24"/>
      </w:rPr>
    </w:pPr>
    <w:r>
      <w:rPr>
        <w:rFonts w:ascii="Times New Roman" w:hAnsi="Times New Roman" w:cs="Times New Roman"/>
        <w:b/>
        <w:sz w:val="24"/>
      </w:rPr>
      <w:t xml:space="preserve">Foreign Influence Audit – Campus </w:t>
    </w:r>
    <w:r w:rsidRPr="00FF4F77">
      <w:rPr>
        <w:rFonts w:ascii="Times New Roman" w:hAnsi="Times New Roman" w:cs="Times New Roman"/>
        <w:b/>
        <w:sz w:val="24"/>
      </w:rPr>
      <w:t xml:space="preserve">Management Corrective Actions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62E6"/>
    <w:multiLevelType w:val="hybridMultilevel"/>
    <w:tmpl w:val="3DC05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D5070"/>
    <w:multiLevelType w:val="multilevel"/>
    <w:tmpl w:val="512C7B90"/>
    <w:lvl w:ilvl="0">
      <w:start w:val="3"/>
      <w:numFmt w:val="decimal"/>
      <w:lvlText w:val="%1"/>
      <w:lvlJc w:val="left"/>
      <w:pPr>
        <w:ind w:left="360" w:hanging="360"/>
      </w:pPr>
      <w:rPr>
        <w:rFonts w:eastAsiaTheme="minorHAnsi" w:hint="default"/>
        <w:b w:val="0"/>
        <w:color w:val="auto"/>
      </w:rPr>
    </w:lvl>
    <w:lvl w:ilvl="1">
      <w:start w:val="7"/>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440" w:hanging="1440"/>
      </w:pPr>
      <w:rPr>
        <w:rFonts w:eastAsiaTheme="minorHAnsi" w:hint="default"/>
        <w:b w:val="0"/>
        <w:color w:val="auto"/>
      </w:rPr>
    </w:lvl>
  </w:abstractNum>
  <w:abstractNum w:abstractNumId="2" w15:restartNumberingAfterBreak="0">
    <w:nsid w:val="29D63A0C"/>
    <w:multiLevelType w:val="hybridMultilevel"/>
    <w:tmpl w:val="C52CB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114BE"/>
    <w:multiLevelType w:val="hybridMultilevel"/>
    <w:tmpl w:val="F7A4E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21497"/>
    <w:multiLevelType w:val="multilevel"/>
    <w:tmpl w:val="B346F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027325"/>
    <w:multiLevelType w:val="hybridMultilevel"/>
    <w:tmpl w:val="C8724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951B2"/>
    <w:multiLevelType w:val="multilevel"/>
    <w:tmpl w:val="AC7C85D6"/>
    <w:lvl w:ilvl="0">
      <w:start w:val="9"/>
      <w:numFmt w:val="decimal"/>
      <w:lvlText w:val="%1"/>
      <w:lvlJc w:val="left"/>
      <w:pPr>
        <w:ind w:left="360" w:hanging="360"/>
      </w:pPr>
      <w:rPr>
        <w:rFonts w:hint="default"/>
        <w:i/>
      </w:rPr>
    </w:lvl>
    <w:lvl w:ilvl="1">
      <w:start w:val="2"/>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7" w15:restartNumberingAfterBreak="0">
    <w:nsid w:val="4D3D4F70"/>
    <w:multiLevelType w:val="multilevel"/>
    <w:tmpl w:val="5DD2B17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B15113"/>
    <w:multiLevelType w:val="hybridMultilevel"/>
    <w:tmpl w:val="7D105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80BF6"/>
    <w:multiLevelType w:val="hybridMultilevel"/>
    <w:tmpl w:val="7A50F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E7FEA"/>
    <w:multiLevelType w:val="hybridMultilevel"/>
    <w:tmpl w:val="26B41AE8"/>
    <w:lvl w:ilvl="0" w:tplc="FA682DB0">
      <w:start w:val="1"/>
      <w:numFmt w:val="decimal"/>
      <w:lvlText w:val="%1.2"/>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81BD6"/>
    <w:multiLevelType w:val="multilevel"/>
    <w:tmpl w:val="4B3CB48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5A0BFB"/>
    <w:multiLevelType w:val="hybridMultilevel"/>
    <w:tmpl w:val="E29AE8D2"/>
    <w:lvl w:ilvl="0" w:tplc="159EAB60">
      <w:start w:val="3"/>
      <w:numFmt w:val="decimal"/>
      <w:lvlText w:val="%1.6"/>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36A14"/>
    <w:multiLevelType w:val="multilevel"/>
    <w:tmpl w:val="BBE01912"/>
    <w:lvl w:ilvl="0">
      <w:start w:val="4"/>
      <w:numFmt w:val="decimal"/>
      <w:lvlText w:val="%1"/>
      <w:lvlJc w:val="left"/>
      <w:pPr>
        <w:ind w:left="360" w:hanging="360"/>
      </w:pPr>
      <w:rPr>
        <w:rFonts w:hint="default"/>
      </w:rPr>
    </w:lvl>
    <w:lvl w:ilvl="1">
      <w:start w:val="6"/>
      <w:numFmt w:val="decimal"/>
      <w:lvlText w:val="%1.%2"/>
      <w:lvlJc w:val="left"/>
      <w:pPr>
        <w:ind w:left="330" w:hanging="360"/>
      </w:pPr>
      <w:rPr>
        <w:rFonts w:hint="default"/>
      </w:rPr>
    </w:lvl>
    <w:lvl w:ilvl="2">
      <w:start w:val="1"/>
      <w:numFmt w:val="decimal"/>
      <w:lvlText w:val="%1.%2.%3"/>
      <w:lvlJc w:val="left"/>
      <w:pPr>
        <w:ind w:left="66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230" w:hanging="1440"/>
      </w:pPr>
      <w:rPr>
        <w:rFonts w:hint="default"/>
      </w:rPr>
    </w:lvl>
    <w:lvl w:ilvl="8">
      <w:start w:val="1"/>
      <w:numFmt w:val="decimal"/>
      <w:lvlText w:val="%1.%2.%3.%4.%5.%6.%7.%8.%9"/>
      <w:lvlJc w:val="left"/>
      <w:pPr>
        <w:ind w:left="1200" w:hanging="1440"/>
      </w:pPr>
      <w:rPr>
        <w:rFonts w:hint="default"/>
      </w:rPr>
    </w:lvl>
  </w:abstractNum>
  <w:abstractNum w:abstractNumId="14" w15:restartNumberingAfterBreak="0">
    <w:nsid w:val="6AE93474"/>
    <w:multiLevelType w:val="multilevel"/>
    <w:tmpl w:val="11C89EB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014FB5"/>
    <w:multiLevelType w:val="hybridMultilevel"/>
    <w:tmpl w:val="28C8E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32029"/>
    <w:multiLevelType w:val="multilevel"/>
    <w:tmpl w:val="F0EC549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0249E9"/>
    <w:multiLevelType w:val="multilevel"/>
    <w:tmpl w:val="4C54937A"/>
    <w:lvl w:ilvl="0">
      <w:start w:val="6"/>
      <w:numFmt w:val="decimal"/>
      <w:lvlText w:val="%1.2"/>
      <w:lvlJc w:val="left"/>
      <w:pPr>
        <w:ind w:left="720" w:hanging="360"/>
      </w:pPr>
      <w:rPr>
        <w:rFonts w:hint="default"/>
        <w:i w:val="0"/>
        <w:color w:val="auto"/>
      </w:rPr>
    </w:lvl>
    <w:lvl w:ilvl="1">
      <w:start w:val="7"/>
      <w:numFmt w:val="none"/>
      <w:lvlRestart w:val="0"/>
      <w:isLgl/>
      <w:lvlText w:val="7.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842AE5"/>
    <w:multiLevelType w:val="multilevel"/>
    <w:tmpl w:val="A862496A"/>
    <w:lvl w:ilvl="0">
      <w:start w:val="6"/>
      <w:numFmt w:val="decimal"/>
      <w:lvlText w:val="%1"/>
      <w:lvlJc w:val="left"/>
      <w:pPr>
        <w:ind w:left="360" w:hanging="360"/>
      </w:pPr>
      <w:rPr>
        <w:rFonts w:hint="default"/>
        <w:b w:val="0"/>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9" w15:restartNumberingAfterBreak="0">
    <w:nsid w:val="7F3E34D6"/>
    <w:multiLevelType w:val="hybridMultilevel"/>
    <w:tmpl w:val="A1E66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7"/>
  </w:num>
  <w:num w:numId="5">
    <w:abstractNumId w:val="11"/>
  </w:num>
  <w:num w:numId="6">
    <w:abstractNumId w:val="17"/>
  </w:num>
  <w:num w:numId="7">
    <w:abstractNumId w:val="16"/>
  </w:num>
  <w:num w:numId="8">
    <w:abstractNumId w:val="14"/>
  </w:num>
  <w:num w:numId="9">
    <w:abstractNumId w:val="6"/>
  </w:num>
  <w:num w:numId="10">
    <w:abstractNumId w:val="1"/>
  </w:num>
  <w:num w:numId="11">
    <w:abstractNumId w:val="13"/>
  </w:num>
  <w:num w:numId="12">
    <w:abstractNumId w:val="18"/>
  </w:num>
  <w:num w:numId="13">
    <w:abstractNumId w:val="3"/>
  </w:num>
  <w:num w:numId="14">
    <w:abstractNumId w:val="15"/>
  </w:num>
  <w:num w:numId="15">
    <w:abstractNumId w:val="0"/>
  </w:num>
  <w:num w:numId="16">
    <w:abstractNumId w:val="19"/>
  </w:num>
  <w:num w:numId="17">
    <w:abstractNumId w:val="2"/>
  </w:num>
  <w:num w:numId="18">
    <w:abstractNumId w:val="9"/>
  </w:num>
  <w:num w:numId="19">
    <w:abstractNumId w:val="8"/>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C4"/>
    <w:rsid w:val="00001C68"/>
    <w:rsid w:val="00040BC4"/>
    <w:rsid w:val="0006616F"/>
    <w:rsid w:val="000870E2"/>
    <w:rsid w:val="00093483"/>
    <w:rsid w:val="000C4DA8"/>
    <w:rsid w:val="000D5FAD"/>
    <w:rsid w:val="000D6991"/>
    <w:rsid w:val="000E734A"/>
    <w:rsid w:val="0015437F"/>
    <w:rsid w:val="00172168"/>
    <w:rsid w:val="00176C98"/>
    <w:rsid w:val="0019737D"/>
    <w:rsid w:val="001D014E"/>
    <w:rsid w:val="001E247D"/>
    <w:rsid w:val="00202CB6"/>
    <w:rsid w:val="00254D34"/>
    <w:rsid w:val="00261215"/>
    <w:rsid w:val="00271D88"/>
    <w:rsid w:val="00282FFA"/>
    <w:rsid w:val="002B3F20"/>
    <w:rsid w:val="002C68CF"/>
    <w:rsid w:val="002F50F2"/>
    <w:rsid w:val="003944EF"/>
    <w:rsid w:val="003B2CAF"/>
    <w:rsid w:val="003F3F86"/>
    <w:rsid w:val="00416B60"/>
    <w:rsid w:val="0047148E"/>
    <w:rsid w:val="004C4B32"/>
    <w:rsid w:val="004D0D5F"/>
    <w:rsid w:val="004D4384"/>
    <w:rsid w:val="004E69E4"/>
    <w:rsid w:val="004F79EC"/>
    <w:rsid w:val="00526FE4"/>
    <w:rsid w:val="00590BAA"/>
    <w:rsid w:val="005B2C30"/>
    <w:rsid w:val="005D5194"/>
    <w:rsid w:val="005F4555"/>
    <w:rsid w:val="0060047D"/>
    <w:rsid w:val="0061779D"/>
    <w:rsid w:val="006300A6"/>
    <w:rsid w:val="0064297A"/>
    <w:rsid w:val="00655338"/>
    <w:rsid w:val="00697DB5"/>
    <w:rsid w:val="006B08B5"/>
    <w:rsid w:val="006C710D"/>
    <w:rsid w:val="006D1D61"/>
    <w:rsid w:val="00715746"/>
    <w:rsid w:val="00723A2F"/>
    <w:rsid w:val="00734E6F"/>
    <w:rsid w:val="007A445B"/>
    <w:rsid w:val="007B47C9"/>
    <w:rsid w:val="00834348"/>
    <w:rsid w:val="0085662D"/>
    <w:rsid w:val="008B2F52"/>
    <w:rsid w:val="008B7466"/>
    <w:rsid w:val="009057B9"/>
    <w:rsid w:val="00941E06"/>
    <w:rsid w:val="009578D5"/>
    <w:rsid w:val="00970702"/>
    <w:rsid w:val="00976BE0"/>
    <w:rsid w:val="009921FA"/>
    <w:rsid w:val="00A0696A"/>
    <w:rsid w:val="00A40964"/>
    <w:rsid w:val="00A50D31"/>
    <w:rsid w:val="00AF3C07"/>
    <w:rsid w:val="00B2210C"/>
    <w:rsid w:val="00B31B67"/>
    <w:rsid w:val="00BB6CF0"/>
    <w:rsid w:val="00C1164A"/>
    <w:rsid w:val="00C26520"/>
    <w:rsid w:val="00C37258"/>
    <w:rsid w:val="00D463B7"/>
    <w:rsid w:val="00D51806"/>
    <w:rsid w:val="00D60EFF"/>
    <w:rsid w:val="00D63487"/>
    <w:rsid w:val="00DA3980"/>
    <w:rsid w:val="00DC18E1"/>
    <w:rsid w:val="00DC22EF"/>
    <w:rsid w:val="00E6480F"/>
    <w:rsid w:val="00EE4E4E"/>
    <w:rsid w:val="00F3340B"/>
    <w:rsid w:val="00F55C48"/>
    <w:rsid w:val="00FF4F77"/>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CFB784"/>
  <w15:chartTrackingRefBased/>
  <w15:docId w15:val="{99044CED-DF11-4FC6-A0C3-B7CA976C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B3F20"/>
    <w:pPr>
      <w:keepNext/>
      <w:keepLines/>
      <w:spacing w:before="40" w:after="0" w:line="240" w:lineRule="auto"/>
      <w:outlineLvl w:val="1"/>
    </w:pPr>
    <w:rPr>
      <w:rFonts w:asciiTheme="majorHAnsi" w:eastAsiaTheme="majorEastAsia" w:hAnsiTheme="majorHAnsi" w:cstheme="majorBidi"/>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40BC4"/>
    <w:pPr>
      <w:ind w:left="720"/>
      <w:contextualSpacing/>
    </w:pPr>
  </w:style>
  <w:style w:type="paragraph" w:styleId="Header">
    <w:name w:val="header"/>
    <w:basedOn w:val="Normal"/>
    <w:link w:val="HeaderChar"/>
    <w:uiPriority w:val="99"/>
    <w:unhideWhenUsed/>
    <w:rsid w:val="00FF4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F77"/>
  </w:style>
  <w:style w:type="paragraph" w:styleId="Footer">
    <w:name w:val="footer"/>
    <w:basedOn w:val="Normal"/>
    <w:link w:val="FooterChar"/>
    <w:uiPriority w:val="99"/>
    <w:unhideWhenUsed/>
    <w:rsid w:val="00FF4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F77"/>
  </w:style>
  <w:style w:type="character" w:styleId="IntenseEmphasis">
    <w:name w:val="Intense Emphasis"/>
    <w:basedOn w:val="DefaultParagraphFont"/>
    <w:uiPriority w:val="21"/>
    <w:qFormat/>
    <w:rsid w:val="00E6480F"/>
    <w:rPr>
      <w:i/>
      <w:iCs/>
      <w:color w:val="5B9BD5" w:themeColor="accent1"/>
    </w:rPr>
  </w:style>
  <w:style w:type="character" w:customStyle="1" w:styleId="Heading2Char">
    <w:name w:val="Heading 2 Char"/>
    <w:basedOn w:val="DefaultParagraphFont"/>
    <w:link w:val="Heading2"/>
    <w:uiPriority w:val="9"/>
    <w:rsid w:val="002B3F20"/>
    <w:rPr>
      <w:rFonts w:asciiTheme="majorHAnsi" w:eastAsiaTheme="majorEastAsia" w:hAnsiTheme="majorHAnsi" w:cstheme="majorBidi"/>
      <w:bCs/>
      <w:color w:val="2E74B5" w:themeColor="accent1" w:themeShade="BF"/>
      <w:sz w:val="26"/>
      <w:szCs w:val="26"/>
    </w:rPr>
  </w:style>
  <w:style w:type="character" w:styleId="CommentReference">
    <w:name w:val="annotation reference"/>
    <w:basedOn w:val="DefaultParagraphFont"/>
    <w:uiPriority w:val="99"/>
    <w:semiHidden/>
    <w:unhideWhenUsed/>
    <w:rsid w:val="0047148E"/>
    <w:rPr>
      <w:sz w:val="16"/>
      <w:szCs w:val="16"/>
    </w:rPr>
  </w:style>
  <w:style w:type="paragraph" w:styleId="CommentText">
    <w:name w:val="annotation text"/>
    <w:basedOn w:val="Normal"/>
    <w:link w:val="CommentTextChar"/>
    <w:uiPriority w:val="99"/>
    <w:unhideWhenUsed/>
    <w:rsid w:val="0047148E"/>
    <w:pPr>
      <w:spacing w:line="240" w:lineRule="auto"/>
    </w:pPr>
    <w:rPr>
      <w:sz w:val="20"/>
      <w:szCs w:val="20"/>
    </w:rPr>
  </w:style>
  <w:style w:type="character" w:customStyle="1" w:styleId="CommentTextChar">
    <w:name w:val="Comment Text Char"/>
    <w:basedOn w:val="DefaultParagraphFont"/>
    <w:link w:val="CommentText"/>
    <w:uiPriority w:val="99"/>
    <w:rsid w:val="0047148E"/>
    <w:rPr>
      <w:sz w:val="20"/>
      <w:szCs w:val="20"/>
    </w:rPr>
  </w:style>
  <w:style w:type="paragraph" w:styleId="BalloonText">
    <w:name w:val="Balloon Text"/>
    <w:basedOn w:val="Normal"/>
    <w:link w:val="BalloonTextChar"/>
    <w:uiPriority w:val="99"/>
    <w:semiHidden/>
    <w:unhideWhenUsed/>
    <w:rsid w:val="0047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4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00A6"/>
    <w:rPr>
      <w:b/>
      <w:bCs/>
    </w:rPr>
  </w:style>
  <w:style w:type="character" w:customStyle="1" w:styleId="CommentSubjectChar">
    <w:name w:val="Comment Subject Char"/>
    <w:basedOn w:val="CommentTextChar"/>
    <w:link w:val="CommentSubject"/>
    <w:uiPriority w:val="99"/>
    <w:semiHidden/>
    <w:rsid w:val="00630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1216</Words>
  <Characters>6980</Characters>
  <Application>Microsoft Office Word</Application>
  <DocSecurity>0</DocSecurity>
  <Lines>465</Lines>
  <Paragraphs>182</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dc:creator>
  <cp:keywords/>
  <dc:description/>
  <cp:lastModifiedBy>Jacqueline Woo</cp:lastModifiedBy>
  <cp:revision>6</cp:revision>
  <dcterms:created xsi:type="dcterms:W3CDTF">2021-10-14T18:40:00Z</dcterms:created>
  <dcterms:modified xsi:type="dcterms:W3CDTF">2021-10-14T20:53:00Z</dcterms:modified>
</cp:coreProperties>
</file>