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A63D" w14:textId="1F2DB0B3" w:rsidR="0020204D" w:rsidRDefault="00DD508D" w:rsidP="009A66C3">
      <w:pPr>
        <w:ind w:firstLine="720"/>
        <w:jc w:val="center"/>
      </w:pPr>
      <w:r w:rsidRPr="00F9403D">
        <w:rPr>
          <w:b/>
        </w:rPr>
        <w:t>UC</w:t>
      </w:r>
      <w:r w:rsidRPr="00F9403D">
        <w:t xml:space="preserve"> </w:t>
      </w:r>
      <w:r w:rsidRPr="00F9403D">
        <w:rPr>
          <w:b/>
        </w:rPr>
        <w:t>RIVERSIDE: AUDIT &amp; ADVISORY SERVICES</w:t>
      </w:r>
    </w:p>
    <w:p w14:paraId="662CA63E" w14:textId="77777777" w:rsidR="0020204D" w:rsidRDefault="0020204D"/>
    <w:p w14:paraId="662CA641" w14:textId="77777777" w:rsidR="0020204D" w:rsidRDefault="0020204D" w:rsidP="009A66C3">
      <w:pPr>
        <w:ind w:right="-360"/>
        <w:rPr>
          <w:b/>
          <w:color w:val="FF0000"/>
        </w:rPr>
      </w:pPr>
    </w:p>
    <w:p w14:paraId="6DB49713" w14:textId="77777777" w:rsidR="009A66C3" w:rsidRDefault="009A66C3" w:rsidP="009A66C3">
      <w:pPr>
        <w:ind w:right="-360"/>
      </w:pPr>
    </w:p>
    <w:p w14:paraId="662CA642" w14:textId="72C57F0E" w:rsidR="0020204D" w:rsidRDefault="006C409C" w:rsidP="009A66C3">
      <w:pPr>
        <w:ind w:right="-360"/>
      </w:pPr>
      <w:r w:rsidRPr="00D470DC">
        <w:t xml:space="preserve">Date: </w:t>
      </w:r>
      <w:r w:rsidRPr="00D470DC">
        <w:tab/>
      </w:r>
      <w:r w:rsidR="009A66C3" w:rsidRPr="00D470DC">
        <w:tab/>
      </w:r>
      <w:r w:rsidR="00BD7D22">
        <w:t xml:space="preserve">January </w:t>
      </w:r>
      <w:r w:rsidR="008813C9">
        <w:t>30</w:t>
      </w:r>
      <w:r w:rsidR="00BD7D22">
        <w:t>, 2024</w:t>
      </w:r>
    </w:p>
    <w:p w14:paraId="662CA644" w14:textId="77777777" w:rsidR="0020204D" w:rsidRDefault="0020204D" w:rsidP="009A66C3">
      <w:pPr>
        <w:ind w:left="900" w:right="-360" w:hanging="900"/>
      </w:pPr>
    </w:p>
    <w:p w14:paraId="662CA645" w14:textId="27DD39F2" w:rsidR="0020204D" w:rsidRDefault="0020204D" w:rsidP="009A66C3">
      <w:pPr>
        <w:ind w:left="900" w:right="-360" w:hanging="900"/>
      </w:pPr>
      <w:r>
        <w:t>To:</w:t>
      </w:r>
      <w:r>
        <w:tab/>
      </w:r>
      <w:r w:rsidR="009A66C3">
        <w:tab/>
      </w:r>
      <w:r w:rsidR="00C247FE">
        <w:t>Veronica Ruiz, Chief Financial &amp; Administrative Officer</w:t>
      </w:r>
    </w:p>
    <w:p w14:paraId="662CA646" w14:textId="12A96EB5" w:rsidR="0020204D" w:rsidRDefault="0020204D" w:rsidP="009A66C3">
      <w:pPr>
        <w:ind w:left="900" w:right="-360" w:hanging="900"/>
      </w:pPr>
      <w:r>
        <w:tab/>
      </w:r>
      <w:r w:rsidR="009A66C3">
        <w:tab/>
      </w:r>
      <w:r w:rsidR="00C247FE">
        <w:t xml:space="preserve">Chancellor’s Office – General Operations </w:t>
      </w:r>
    </w:p>
    <w:p w14:paraId="662CA647" w14:textId="77777777" w:rsidR="0020204D" w:rsidRDefault="0020204D" w:rsidP="009A66C3">
      <w:pPr>
        <w:ind w:left="900" w:right="-360" w:hanging="900"/>
      </w:pPr>
    </w:p>
    <w:p w14:paraId="0FBC1ABA" w14:textId="77777777" w:rsidR="00390DDB" w:rsidRDefault="00390DDB" w:rsidP="009A66C3">
      <w:pPr>
        <w:ind w:left="900" w:right="-360" w:hanging="900"/>
      </w:pPr>
    </w:p>
    <w:p w14:paraId="662CA648" w14:textId="6D11941A" w:rsidR="0020204D" w:rsidRDefault="0020204D" w:rsidP="009A66C3">
      <w:pPr>
        <w:ind w:left="900" w:right="-360" w:hanging="900"/>
      </w:pPr>
      <w:r>
        <w:t>Subject:</w:t>
      </w:r>
      <w:r w:rsidR="00EB7660">
        <w:tab/>
      </w:r>
      <w:r w:rsidR="009A66C3">
        <w:tab/>
      </w:r>
      <w:r w:rsidR="00C247FE">
        <w:t>G-45 Chancellor’s Expenses</w:t>
      </w:r>
      <w:r w:rsidR="0058461B">
        <w:t xml:space="preserve"> Systemwide Audit</w:t>
      </w:r>
    </w:p>
    <w:p w14:paraId="662CA649" w14:textId="77777777" w:rsidR="0020204D" w:rsidRDefault="0020204D" w:rsidP="009A66C3">
      <w:pPr>
        <w:ind w:left="900" w:right="-360" w:hanging="900"/>
      </w:pPr>
    </w:p>
    <w:p w14:paraId="662CA64A" w14:textId="69057699" w:rsidR="0020204D" w:rsidRDefault="0020204D" w:rsidP="009A66C3">
      <w:pPr>
        <w:ind w:left="900" w:right="-360" w:hanging="900"/>
      </w:pPr>
      <w:r>
        <w:t>Ref:</w:t>
      </w:r>
      <w:r>
        <w:tab/>
      </w:r>
      <w:r w:rsidR="009A66C3">
        <w:tab/>
      </w:r>
      <w:r w:rsidR="00C247FE">
        <w:t>R2023-01</w:t>
      </w:r>
    </w:p>
    <w:p w14:paraId="662CA64B" w14:textId="77777777" w:rsidR="0020204D" w:rsidRDefault="0020204D" w:rsidP="003467B4">
      <w:pPr>
        <w:ind w:right="-432"/>
      </w:pPr>
    </w:p>
    <w:p w14:paraId="662CA64C" w14:textId="77777777" w:rsidR="0020204D" w:rsidRDefault="0020204D"/>
    <w:p w14:paraId="662CA64E" w14:textId="3B64B85A" w:rsidR="0020204D" w:rsidRPr="003B3EAB" w:rsidRDefault="0089105E" w:rsidP="003467B4">
      <w:pPr>
        <w:jc w:val="both"/>
      </w:pPr>
      <w:r w:rsidRPr="00CF472D">
        <w:t xml:space="preserve">We have completed </w:t>
      </w:r>
      <w:r w:rsidR="00C247FE" w:rsidRPr="00CF472D">
        <w:t>the G-45 Chancellor’s Expenses</w:t>
      </w:r>
      <w:r w:rsidR="0058461B" w:rsidRPr="00CF472D">
        <w:t xml:space="preserve"> Systemwide audit in accordance with the University of California, Riverside (UCR)</w:t>
      </w:r>
      <w:r w:rsidR="00512E34" w:rsidRPr="00CF472D">
        <w:t xml:space="preserve"> Audit Plan</w:t>
      </w:r>
      <w:r w:rsidR="0020204D" w:rsidRPr="00CF472D">
        <w:t>.</w:t>
      </w:r>
      <w:r w:rsidR="007C3912">
        <w:t xml:space="preserve"> </w:t>
      </w:r>
      <w:r w:rsidR="00AD24AF" w:rsidRPr="00CF472D">
        <w:t xml:space="preserve"> </w:t>
      </w:r>
      <w:r w:rsidR="0020204D" w:rsidRPr="00CF472D">
        <w:t>Our report is attached for your review.</w:t>
      </w:r>
    </w:p>
    <w:p w14:paraId="662CA64F" w14:textId="77777777" w:rsidR="0020204D" w:rsidRDefault="0020204D" w:rsidP="003467B4">
      <w:pPr>
        <w:jc w:val="both"/>
      </w:pPr>
    </w:p>
    <w:p w14:paraId="6477CBF9" w14:textId="227FCE26" w:rsidR="00CB10B7" w:rsidRDefault="00CB10B7" w:rsidP="003467B4">
      <w:pPr>
        <w:jc w:val="both"/>
      </w:pPr>
      <w:r w:rsidRPr="00CB10B7">
        <w:t xml:space="preserve">We will perform audit follow-up procedures in the future to review the status of management actions. </w:t>
      </w:r>
      <w:r w:rsidR="007C3912">
        <w:t xml:space="preserve"> </w:t>
      </w:r>
      <w:r w:rsidRPr="00CB10B7">
        <w:t xml:space="preserve">This follow-up may take the form of a discussion or perhaps a limited review. </w:t>
      </w:r>
      <w:r w:rsidR="007C3912">
        <w:t xml:space="preserve"> </w:t>
      </w:r>
      <w:r w:rsidRPr="00CB10B7">
        <w:t>Audit R2023-0</w:t>
      </w:r>
      <w:r>
        <w:t>1</w:t>
      </w:r>
      <w:r w:rsidRPr="00CB10B7">
        <w:t xml:space="preserve"> will remain open until we have evaluated the actions taken.</w:t>
      </w:r>
    </w:p>
    <w:p w14:paraId="04618044" w14:textId="77777777" w:rsidR="00CB10B7" w:rsidRDefault="00CB10B7" w:rsidP="003467B4">
      <w:pPr>
        <w:jc w:val="both"/>
      </w:pPr>
    </w:p>
    <w:p w14:paraId="662CA650" w14:textId="054FFA05" w:rsidR="0020204D" w:rsidRDefault="0020204D" w:rsidP="003467B4">
      <w:pPr>
        <w:jc w:val="both"/>
      </w:pPr>
      <w:r w:rsidRPr="00C0518F">
        <w:t xml:space="preserve">We appreciate the cooperation and assistance provided by </w:t>
      </w:r>
      <w:r>
        <w:t>you</w:t>
      </w:r>
      <w:r w:rsidR="00D470DC">
        <w:t xml:space="preserve"> and </w:t>
      </w:r>
      <w:r>
        <w:t>your staff.</w:t>
      </w:r>
      <w:r w:rsidR="00AD24AF">
        <w:t xml:space="preserve"> </w:t>
      </w:r>
      <w:r w:rsidRPr="00C0518F">
        <w:t xml:space="preserve">Should you have any questions concerning the report, please do not hesitate to contact me. </w:t>
      </w:r>
    </w:p>
    <w:p w14:paraId="662CA651" w14:textId="77777777" w:rsidR="0020204D" w:rsidRDefault="0020204D" w:rsidP="00C71F7E"/>
    <w:p w14:paraId="662CA652" w14:textId="77777777" w:rsidR="0020204D" w:rsidRDefault="0020204D"/>
    <w:p w14:paraId="0C6E2AAA" w14:textId="77777777" w:rsidR="0033324F" w:rsidRDefault="0033324F"/>
    <w:p w14:paraId="662CA653" w14:textId="77777777" w:rsidR="0020204D" w:rsidRDefault="0020204D"/>
    <w:p w14:paraId="662CA654" w14:textId="77777777" w:rsidR="0020204D" w:rsidRDefault="0020204D"/>
    <w:p w14:paraId="662CA655" w14:textId="77777777" w:rsidR="0020204D" w:rsidRDefault="0020204D">
      <w:r>
        <w:tab/>
      </w:r>
      <w:r>
        <w:tab/>
      </w:r>
      <w:r>
        <w:tab/>
      </w:r>
      <w:r>
        <w:tab/>
      </w:r>
      <w:r>
        <w:tab/>
      </w:r>
      <w:r>
        <w:tab/>
      </w:r>
      <w:r>
        <w:tab/>
        <w:t>Gregory Moore</w:t>
      </w:r>
    </w:p>
    <w:p w14:paraId="662CA656" w14:textId="77777777" w:rsidR="0020204D" w:rsidRDefault="0020204D">
      <w:r>
        <w:tab/>
      </w:r>
      <w:r>
        <w:tab/>
      </w:r>
      <w:r>
        <w:tab/>
      </w:r>
      <w:r>
        <w:tab/>
      </w:r>
      <w:r>
        <w:tab/>
      </w:r>
      <w:r>
        <w:tab/>
      </w:r>
      <w:r>
        <w:tab/>
        <w:t>Director</w:t>
      </w:r>
    </w:p>
    <w:p w14:paraId="662CA657" w14:textId="77777777" w:rsidR="0020204D" w:rsidRDefault="0020204D"/>
    <w:p w14:paraId="662CA658" w14:textId="77777777" w:rsidR="0020204D" w:rsidRDefault="0020204D"/>
    <w:p w14:paraId="662CA65D" w14:textId="77777777" w:rsidR="0020204D" w:rsidRDefault="0020204D"/>
    <w:p w14:paraId="662CA65E" w14:textId="77777777" w:rsidR="0020204D" w:rsidRDefault="0020204D"/>
    <w:p w14:paraId="662CA65F" w14:textId="77777777" w:rsidR="0020204D" w:rsidRDefault="0020204D" w:rsidP="0033324F">
      <w:pPr>
        <w:jc w:val="both"/>
      </w:pPr>
      <w:r>
        <w:t>cc:</w:t>
      </w:r>
      <w:r>
        <w:tab/>
      </w:r>
      <w:r w:rsidRPr="00A069DD">
        <w:t>Ethics &amp; Compliance Risk and Audit Controls (ECRAC) Committee</w:t>
      </w:r>
    </w:p>
    <w:p w14:paraId="662CA660" w14:textId="77777777" w:rsidR="0020204D" w:rsidRDefault="0020204D" w:rsidP="0042618C">
      <w:r>
        <w:tab/>
      </w:r>
    </w:p>
    <w:p w14:paraId="662CA661" w14:textId="77777777" w:rsidR="0020204D" w:rsidRDefault="0020204D" w:rsidP="0042618C"/>
    <w:p w14:paraId="662CA662" w14:textId="77777777" w:rsidR="0020204D" w:rsidRDefault="0020204D"/>
    <w:p w14:paraId="662CA663" w14:textId="77777777" w:rsidR="0020204D" w:rsidRDefault="0020204D">
      <w:pPr>
        <w:rPr>
          <w:b/>
        </w:rPr>
      </w:pPr>
      <w:r>
        <w:rPr>
          <w:b/>
        </w:rPr>
        <w:br w:type="page"/>
      </w:r>
    </w:p>
    <w:p w14:paraId="662CA664" w14:textId="77777777" w:rsidR="0020204D" w:rsidRPr="0042618C" w:rsidRDefault="0020204D">
      <w:pPr>
        <w:jc w:val="center"/>
        <w:rPr>
          <w:b/>
          <w:color w:val="FF0000"/>
        </w:rPr>
      </w:pPr>
    </w:p>
    <w:p w14:paraId="662CA665" w14:textId="77777777" w:rsidR="0020204D" w:rsidRDefault="0020204D">
      <w:pPr>
        <w:jc w:val="center"/>
        <w:rPr>
          <w:b/>
        </w:rPr>
      </w:pPr>
    </w:p>
    <w:p w14:paraId="662CA666" w14:textId="77777777" w:rsidR="0020204D" w:rsidRDefault="0020204D">
      <w:pPr>
        <w:jc w:val="center"/>
        <w:rPr>
          <w:b/>
        </w:rPr>
      </w:pPr>
    </w:p>
    <w:p w14:paraId="662CA667" w14:textId="77777777" w:rsidR="0020204D" w:rsidRDefault="0020204D">
      <w:pPr>
        <w:jc w:val="center"/>
        <w:rPr>
          <w:b/>
        </w:rPr>
      </w:pPr>
    </w:p>
    <w:p w14:paraId="662CA668" w14:textId="77777777" w:rsidR="0020204D" w:rsidRDefault="0020204D">
      <w:pPr>
        <w:jc w:val="center"/>
      </w:pPr>
      <w:smartTag w:uri="urn:schemas-microsoft-com:office:smarttags" w:element="PlaceType">
        <w:r>
          <w:t>UNIVERSITY</w:t>
        </w:r>
      </w:smartTag>
      <w:r>
        <w:t xml:space="preserve"> OF </w:t>
      </w:r>
      <w:smartTag w:uri="urn:schemas-microsoft-com:office:smarttags" w:element="PlaceName">
        <w:r>
          <w:t>CALIFORNIA</w:t>
        </w:r>
      </w:smartTag>
      <w:r>
        <w:t xml:space="preserve"> AT </w:t>
      </w:r>
      <w:smartTag w:uri="urn:schemas-microsoft-com:office:smarttags" w:element="place">
        <w:smartTag w:uri="urn:schemas-microsoft-com:office:smarttags" w:element="City">
          <w:r>
            <w:t>RIVERSIDE</w:t>
          </w:r>
        </w:smartTag>
      </w:smartTag>
    </w:p>
    <w:p w14:paraId="662CA669" w14:textId="77777777" w:rsidR="0020204D" w:rsidRDefault="0020204D">
      <w:pPr>
        <w:jc w:val="center"/>
      </w:pPr>
    </w:p>
    <w:p w14:paraId="662CA66A" w14:textId="77777777" w:rsidR="0020204D" w:rsidRPr="00960774" w:rsidRDefault="0020204D">
      <w:pPr>
        <w:jc w:val="center"/>
      </w:pPr>
      <w:r w:rsidRPr="00960774">
        <w:t>AUDIT &amp; ADVISORY SERVICES</w:t>
      </w:r>
    </w:p>
    <w:p w14:paraId="662CA66F" w14:textId="77777777" w:rsidR="0020204D" w:rsidRPr="00960774" w:rsidRDefault="0020204D" w:rsidP="00960774"/>
    <w:p w14:paraId="662CA670" w14:textId="77777777" w:rsidR="0020204D" w:rsidRPr="00960774" w:rsidRDefault="0020204D">
      <w:pPr>
        <w:jc w:val="center"/>
      </w:pPr>
    </w:p>
    <w:p w14:paraId="662CA671" w14:textId="6A2A4013" w:rsidR="0020204D" w:rsidRDefault="0020204D">
      <w:pPr>
        <w:jc w:val="center"/>
      </w:pPr>
      <w:r w:rsidRPr="00960774">
        <w:t xml:space="preserve">AUDIT REPORT </w:t>
      </w:r>
      <w:r w:rsidR="00C247FE" w:rsidRPr="00960774">
        <w:t>R2023-01</w:t>
      </w:r>
    </w:p>
    <w:p w14:paraId="662CA672" w14:textId="77777777" w:rsidR="0020204D" w:rsidRDefault="0020204D">
      <w:pPr>
        <w:jc w:val="center"/>
      </w:pPr>
    </w:p>
    <w:p w14:paraId="662CA673" w14:textId="77777777" w:rsidR="0020204D" w:rsidRDefault="00F61F9E" w:rsidP="00027CDE">
      <w:pPr>
        <w:jc w:val="center"/>
      </w:pPr>
      <w:r>
        <w:t>G-45 CHANCELLOR’S EXPENSES</w:t>
      </w:r>
    </w:p>
    <w:p w14:paraId="662CA675" w14:textId="77777777" w:rsidR="0020204D" w:rsidRDefault="0020204D" w:rsidP="003E5E2C"/>
    <w:p w14:paraId="662CA676" w14:textId="79088F34" w:rsidR="0020204D" w:rsidRDefault="00BD7D22" w:rsidP="0042618C">
      <w:pPr>
        <w:jc w:val="center"/>
      </w:pPr>
      <w:r>
        <w:t xml:space="preserve">January </w:t>
      </w:r>
      <w:r w:rsidR="008813C9">
        <w:t>30</w:t>
      </w:r>
      <w:r>
        <w:t>, 2024</w:t>
      </w:r>
    </w:p>
    <w:p w14:paraId="662CA677" w14:textId="77777777" w:rsidR="0020204D" w:rsidRDefault="0020204D"/>
    <w:p w14:paraId="662CA678" w14:textId="77777777" w:rsidR="0020204D" w:rsidRDefault="0020204D"/>
    <w:p w14:paraId="662CA679" w14:textId="77777777" w:rsidR="0020204D" w:rsidRDefault="0020204D"/>
    <w:p w14:paraId="662CA67A" w14:textId="77777777" w:rsidR="0020204D" w:rsidRDefault="0020204D"/>
    <w:p w14:paraId="662CA67B" w14:textId="77777777" w:rsidR="0020204D" w:rsidRDefault="0020204D"/>
    <w:p w14:paraId="662CA67C" w14:textId="77777777" w:rsidR="0020204D" w:rsidRDefault="0020204D"/>
    <w:p w14:paraId="662CA67D" w14:textId="77777777" w:rsidR="0020204D" w:rsidRDefault="0020204D"/>
    <w:p w14:paraId="662CA67E" w14:textId="77777777" w:rsidR="0020204D" w:rsidRDefault="0020204D"/>
    <w:p w14:paraId="662CA67F" w14:textId="77777777" w:rsidR="0020204D" w:rsidRDefault="0020204D"/>
    <w:p w14:paraId="662CA680" w14:textId="77777777" w:rsidR="0020204D" w:rsidRDefault="0020204D" w:rsidP="0042618C">
      <w:pPr>
        <w:tabs>
          <w:tab w:val="left" w:pos="5760"/>
        </w:tabs>
      </w:pPr>
    </w:p>
    <w:p w14:paraId="662CA681" w14:textId="77777777" w:rsidR="0020204D" w:rsidRDefault="0020204D" w:rsidP="0042618C">
      <w:pPr>
        <w:tabs>
          <w:tab w:val="left" w:pos="5760"/>
        </w:tabs>
      </w:pPr>
      <w:r>
        <w:tab/>
        <w:t>Approved by:</w:t>
      </w:r>
    </w:p>
    <w:p w14:paraId="662CA682" w14:textId="77777777" w:rsidR="0020204D" w:rsidRDefault="0020204D"/>
    <w:p w14:paraId="662CA683" w14:textId="77777777" w:rsidR="0020204D" w:rsidRDefault="0020204D"/>
    <w:p w14:paraId="662CA684" w14:textId="77777777" w:rsidR="0020204D" w:rsidRDefault="0020204D"/>
    <w:p w14:paraId="662CA685" w14:textId="77777777" w:rsidR="0020204D" w:rsidRPr="00B960BF" w:rsidRDefault="0020204D" w:rsidP="0042618C">
      <w:pPr>
        <w:tabs>
          <w:tab w:val="left" w:pos="5760"/>
        </w:tabs>
      </w:pPr>
      <w:r w:rsidRPr="00B960BF">
        <w:t>_____________________</w:t>
      </w:r>
      <w:r w:rsidRPr="00B960BF">
        <w:tab/>
        <w:t>_____________________</w:t>
      </w:r>
    </w:p>
    <w:p w14:paraId="662CA686" w14:textId="6555DEA3" w:rsidR="0020204D" w:rsidRPr="003E5E2C" w:rsidRDefault="00C247FE" w:rsidP="0042618C">
      <w:pPr>
        <w:tabs>
          <w:tab w:val="left" w:pos="5760"/>
        </w:tabs>
      </w:pPr>
      <w:r>
        <w:t>Ricardo Pardo</w:t>
      </w:r>
      <w:r w:rsidR="0020204D" w:rsidRPr="00B960BF">
        <w:tab/>
      </w:r>
      <w:r w:rsidR="003E5E2C" w:rsidRPr="003E5E2C">
        <w:t>Gregory Moore</w:t>
      </w:r>
    </w:p>
    <w:p w14:paraId="662CA687" w14:textId="628DC9D1" w:rsidR="0020204D" w:rsidRDefault="00C247FE" w:rsidP="0042618C">
      <w:pPr>
        <w:tabs>
          <w:tab w:val="left" w:pos="5760"/>
        </w:tabs>
      </w:pPr>
      <w:r w:rsidRPr="003E5E2C">
        <w:t xml:space="preserve">Associate </w:t>
      </w:r>
      <w:r w:rsidR="0020204D" w:rsidRPr="003E5E2C">
        <w:t>Auditor</w:t>
      </w:r>
      <w:r w:rsidR="0020204D" w:rsidRPr="003E5E2C">
        <w:tab/>
        <w:t>Director</w:t>
      </w:r>
    </w:p>
    <w:p w14:paraId="662CA688" w14:textId="77777777" w:rsidR="0020204D" w:rsidRDefault="0020204D" w:rsidP="0042618C">
      <w:pPr>
        <w:tabs>
          <w:tab w:val="left" w:pos="5760"/>
        </w:tabs>
      </w:pPr>
    </w:p>
    <w:p w14:paraId="662CA689" w14:textId="77777777" w:rsidR="0020204D" w:rsidRDefault="0020204D" w:rsidP="0042618C">
      <w:pPr>
        <w:tabs>
          <w:tab w:val="left" w:pos="5760"/>
        </w:tabs>
      </w:pPr>
    </w:p>
    <w:p w14:paraId="662CA68A" w14:textId="77777777" w:rsidR="0020204D" w:rsidRDefault="0020204D" w:rsidP="0042618C">
      <w:pPr>
        <w:tabs>
          <w:tab w:val="left" w:pos="5760"/>
        </w:tabs>
      </w:pPr>
    </w:p>
    <w:p w14:paraId="662CA68D" w14:textId="4A0ECF49" w:rsidR="0020204D" w:rsidRDefault="0020204D" w:rsidP="003E5E2C">
      <w:pPr>
        <w:tabs>
          <w:tab w:val="left" w:pos="5760"/>
        </w:tabs>
      </w:pPr>
      <w:r>
        <w:tab/>
      </w:r>
    </w:p>
    <w:p w14:paraId="662CA68E" w14:textId="77777777" w:rsidR="0020204D" w:rsidRPr="0042618C" w:rsidRDefault="0020204D" w:rsidP="00C67CBA"/>
    <w:p w14:paraId="662CA68F" w14:textId="77777777" w:rsidR="0020204D" w:rsidRPr="0042618C" w:rsidRDefault="0020204D" w:rsidP="00C67CBA">
      <w:pPr>
        <w:rPr>
          <w:sz w:val="28"/>
        </w:rPr>
        <w:sectPr w:rsidR="0020204D" w:rsidRPr="0042618C" w:rsidSect="009A66C3">
          <w:headerReference w:type="even" r:id="rId11"/>
          <w:headerReference w:type="default" r:id="rId12"/>
          <w:headerReference w:type="first" r:id="rId13"/>
          <w:pgSz w:w="12240" w:h="15840"/>
          <w:pgMar w:top="1440" w:right="1440" w:bottom="1440" w:left="1440" w:header="720" w:footer="720" w:gutter="0"/>
          <w:cols w:space="720"/>
          <w:docGrid w:linePitch="360"/>
        </w:sectPr>
      </w:pPr>
    </w:p>
    <w:p w14:paraId="662CA690" w14:textId="77777777" w:rsidR="0020204D" w:rsidRPr="00A8750E" w:rsidRDefault="0020204D">
      <w:pPr>
        <w:jc w:val="center"/>
        <w:rPr>
          <w:b/>
          <w:color w:val="FF0000"/>
        </w:rPr>
      </w:pPr>
    </w:p>
    <w:p w14:paraId="662CA691" w14:textId="77777777" w:rsidR="0020204D" w:rsidRPr="00A8750E" w:rsidRDefault="0020204D">
      <w:pPr>
        <w:jc w:val="center"/>
        <w:rPr>
          <w:b/>
        </w:rPr>
      </w:pPr>
      <w:r w:rsidRPr="00A8750E">
        <w:rPr>
          <w:b/>
        </w:rPr>
        <w:t>UC RIVERSIDE</w:t>
      </w:r>
    </w:p>
    <w:p w14:paraId="662CA692" w14:textId="77777777" w:rsidR="0020204D" w:rsidRPr="00901888" w:rsidRDefault="00C247FE">
      <w:pPr>
        <w:jc w:val="center"/>
        <w:rPr>
          <w:b/>
        </w:rPr>
      </w:pPr>
      <w:r w:rsidRPr="00901888">
        <w:rPr>
          <w:b/>
        </w:rPr>
        <w:t>G-45 CHANCELLOR’S EXPENSES</w:t>
      </w:r>
    </w:p>
    <w:p w14:paraId="662CA693" w14:textId="28FD4E60" w:rsidR="0020204D" w:rsidRPr="00A8750E" w:rsidRDefault="0020204D">
      <w:pPr>
        <w:jc w:val="center"/>
        <w:rPr>
          <w:b/>
        </w:rPr>
      </w:pPr>
      <w:r w:rsidRPr="00901888">
        <w:rPr>
          <w:b/>
        </w:rPr>
        <w:t>AUDIT REPORT</w:t>
      </w:r>
      <w:r w:rsidRPr="00A8750E">
        <w:rPr>
          <w:b/>
        </w:rPr>
        <w:t xml:space="preserve"> </w:t>
      </w:r>
      <w:r w:rsidR="00C247FE" w:rsidRPr="00A8750E">
        <w:rPr>
          <w:b/>
        </w:rPr>
        <w:t>R2023-01</w:t>
      </w:r>
    </w:p>
    <w:p w14:paraId="662CA694" w14:textId="4907236A" w:rsidR="0020204D" w:rsidRPr="00A8750E" w:rsidRDefault="00BD7D22">
      <w:pPr>
        <w:jc w:val="center"/>
        <w:rPr>
          <w:b/>
        </w:rPr>
      </w:pPr>
      <w:r>
        <w:rPr>
          <w:b/>
        </w:rPr>
        <w:t xml:space="preserve">January </w:t>
      </w:r>
      <w:r w:rsidR="008813C9">
        <w:rPr>
          <w:b/>
        </w:rPr>
        <w:t>30</w:t>
      </w:r>
      <w:r>
        <w:rPr>
          <w:b/>
        </w:rPr>
        <w:t>, 2024</w:t>
      </w:r>
    </w:p>
    <w:p w14:paraId="662CA695" w14:textId="77777777" w:rsidR="0020204D" w:rsidRDefault="0020204D">
      <w:pPr>
        <w:rPr>
          <w:b/>
        </w:rPr>
      </w:pPr>
    </w:p>
    <w:p w14:paraId="662CA696" w14:textId="77777777" w:rsidR="0020204D" w:rsidRDefault="0020204D">
      <w:pPr>
        <w:rPr>
          <w:b/>
        </w:rPr>
      </w:pPr>
    </w:p>
    <w:p w14:paraId="7044FA9C" w14:textId="77777777" w:rsidR="00D14588" w:rsidRPr="006658F3" w:rsidRDefault="00D14588" w:rsidP="00D14588">
      <w:pPr>
        <w:numPr>
          <w:ilvl w:val="0"/>
          <w:numId w:val="14"/>
        </w:numPr>
        <w:ind w:left="0" w:right="-900"/>
        <w:rPr>
          <w:b/>
          <w:u w:val="single"/>
        </w:rPr>
      </w:pPr>
      <w:r w:rsidRPr="006658F3">
        <w:rPr>
          <w:b/>
          <w:u w:val="single"/>
        </w:rPr>
        <w:t>MANAGEMENT SUMMARY</w:t>
      </w:r>
    </w:p>
    <w:p w14:paraId="662CA698" w14:textId="77777777" w:rsidR="0020204D" w:rsidRDefault="0020204D" w:rsidP="00B04B44">
      <w:pPr>
        <w:ind w:left="360"/>
        <w:rPr>
          <w:b/>
          <w:u w:val="single"/>
        </w:rPr>
      </w:pPr>
    </w:p>
    <w:p w14:paraId="662CA699" w14:textId="4E175B0C" w:rsidR="0020204D" w:rsidRPr="009E5E26" w:rsidRDefault="0020204D" w:rsidP="00FF4734">
      <w:pPr>
        <w:jc w:val="both"/>
      </w:pPr>
      <w:bookmarkStart w:id="0" w:name="OLE_LINK1"/>
      <w:r>
        <w:t xml:space="preserve">Based upon the results of our review, it is our opinion that, overall, the </w:t>
      </w:r>
      <w:r>
        <w:rPr>
          <w:color w:val="000000"/>
        </w:rPr>
        <w:t xml:space="preserve">expenses incurred </w:t>
      </w:r>
      <w:r w:rsidRPr="009E5E26">
        <w:rPr>
          <w:color w:val="000000"/>
        </w:rPr>
        <w:t>by</w:t>
      </w:r>
      <w:r w:rsidRPr="00E766A8">
        <w:rPr>
          <w:color w:val="000000"/>
        </w:rPr>
        <w:t xml:space="preserve"> the Chancellor do not represent</w:t>
      </w:r>
      <w:r w:rsidRPr="009E5E26">
        <w:rPr>
          <w:color w:val="000000"/>
        </w:rPr>
        <w:t xml:space="preserve"> additional elements of compensation</w:t>
      </w:r>
      <w:r>
        <w:rPr>
          <w:color w:val="000000"/>
        </w:rPr>
        <w:t>,</w:t>
      </w:r>
      <w:r w:rsidRPr="009E5E26">
        <w:rPr>
          <w:color w:val="000000"/>
        </w:rPr>
        <w:t xml:space="preserve"> are</w:t>
      </w:r>
      <w:r w:rsidRPr="009E5E26">
        <w:t xml:space="preserve"> in compliance with applicable University policies and procedures</w:t>
      </w:r>
      <w:r>
        <w:t>, and are appropriate</w:t>
      </w:r>
      <w:r w:rsidRPr="009E5E26">
        <w:t>.</w:t>
      </w:r>
      <w:r w:rsidR="00E766A8">
        <w:t xml:space="preserve"> </w:t>
      </w:r>
      <w:r w:rsidR="007C3912">
        <w:t xml:space="preserve"> </w:t>
      </w:r>
      <w:r w:rsidR="00E766A8">
        <w:t xml:space="preserve">However, we observed some areas noted below that need enhancement to strengthen internal controls and/or effect compliance with University policies and procedures: </w:t>
      </w:r>
    </w:p>
    <w:bookmarkEnd w:id="0"/>
    <w:p w14:paraId="15650EBC" w14:textId="77777777" w:rsidR="00E766A8" w:rsidRPr="002F5293" w:rsidRDefault="00E766A8" w:rsidP="00E766A8">
      <w:pPr>
        <w:jc w:val="both"/>
      </w:pPr>
    </w:p>
    <w:p w14:paraId="6549CD66" w14:textId="324C5342" w:rsidR="00E766A8" w:rsidRDefault="00E766A8" w:rsidP="00E766A8">
      <w:pPr>
        <w:pStyle w:val="ListParagraph"/>
        <w:numPr>
          <w:ilvl w:val="0"/>
          <w:numId w:val="11"/>
        </w:numPr>
        <w:jc w:val="both"/>
      </w:pPr>
      <w:r w:rsidRPr="003D659C">
        <w:t>Observation III.</w:t>
      </w:r>
      <w:r w:rsidR="00964484">
        <w:t>A</w:t>
      </w:r>
      <w:r w:rsidRPr="003D659C">
        <w:t xml:space="preserve"> </w:t>
      </w:r>
      <w:r w:rsidR="003D659C" w:rsidRPr="003D659C">
        <w:t>–</w:t>
      </w:r>
      <w:r w:rsidRPr="003D659C">
        <w:t xml:space="preserve"> </w:t>
      </w:r>
      <w:r w:rsidR="003D659C" w:rsidRPr="003D659C">
        <w:t>Full Accounting Unit (FAU) Classification</w:t>
      </w:r>
    </w:p>
    <w:p w14:paraId="213E3EBE" w14:textId="77EC4A16" w:rsidR="00B9557D" w:rsidRPr="00B9557D" w:rsidRDefault="00B9557D" w:rsidP="00B9557D">
      <w:pPr>
        <w:pStyle w:val="ListParagraph"/>
        <w:numPr>
          <w:ilvl w:val="0"/>
          <w:numId w:val="11"/>
        </w:numPr>
      </w:pPr>
      <w:r>
        <w:t xml:space="preserve">Observation III.B </w:t>
      </w:r>
      <w:r w:rsidRPr="003D659C">
        <w:t>–</w:t>
      </w:r>
      <w:r>
        <w:t xml:space="preserve"> </w:t>
      </w:r>
      <w:r w:rsidRPr="00B9557D">
        <w:t>Annual Report of Fiscal Year Expense of the President/Chancellor</w:t>
      </w:r>
    </w:p>
    <w:p w14:paraId="20EE7C7E" w14:textId="710DED89" w:rsidR="00B9557D" w:rsidRPr="003D659C" w:rsidRDefault="00B9557D" w:rsidP="00B9557D">
      <w:pPr>
        <w:pStyle w:val="ListParagraph"/>
        <w:numPr>
          <w:ilvl w:val="0"/>
          <w:numId w:val="11"/>
        </w:numPr>
      </w:pPr>
      <w:r>
        <w:t xml:space="preserve">Observation III.C </w:t>
      </w:r>
      <w:r w:rsidRPr="003D659C">
        <w:t>–</w:t>
      </w:r>
      <w:r>
        <w:t xml:space="preserve"> </w:t>
      </w:r>
      <w:r w:rsidRPr="00B9557D">
        <w:t>Invoice Documentation Retention</w:t>
      </w:r>
    </w:p>
    <w:p w14:paraId="5B59B6CB" w14:textId="77777777" w:rsidR="00E766A8" w:rsidRPr="002F5293" w:rsidRDefault="00E766A8" w:rsidP="00E766A8">
      <w:pPr>
        <w:pStyle w:val="ListParagraph"/>
        <w:ind w:right="-900"/>
        <w:jc w:val="both"/>
      </w:pPr>
    </w:p>
    <w:p w14:paraId="1BC66370" w14:textId="710CA829" w:rsidR="00E766A8" w:rsidRPr="00D03085" w:rsidRDefault="00E766A8" w:rsidP="00E766A8">
      <w:pPr>
        <w:jc w:val="both"/>
      </w:pPr>
      <w:r w:rsidRPr="002F5293">
        <w:t xml:space="preserve">These items are discussed below. </w:t>
      </w:r>
      <w:r w:rsidR="007C3912">
        <w:t xml:space="preserve"> </w:t>
      </w:r>
      <w:r w:rsidRPr="002F5293">
        <w:t>Minor items that</w:t>
      </w:r>
      <w:r w:rsidRPr="00DA208A">
        <w:t xml:space="preserve"> were not of a magnitude to warrant inclusion in the report were discussed verbally with management.</w:t>
      </w:r>
    </w:p>
    <w:p w14:paraId="662CA69C" w14:textId="77777777" w:rsidR="0020204D" w:rsidRPr="009E5E26" w:rsidRDefault="0020204D" w:rsidP="00B024C8"/>
    <w:p w14:paraId="662CA69D" w14:textId="77777777" w:rsidR="0020204D" w:rsidRPr="009E5E26" w:rsidRDefault="0020204D" w:rsidP="00B024C8"/>
    <w:p w14:paraId="1C554C95" w14:textId="77777777" w:rsidR="00D14588" w:rsidRPr="00085634" w:rsidRDefault="00D14588" w:rsidP="00D14588">
      <w:pPr>
        <w:numPr>
          <w:ilvl w:val="0"/>
          <w:numId w:val="14"/>
        </w:numPr>
        <w:ind w:left="0" w:right="-900"/>
        <w:rPr>
          <w:b/>
          <w:u w:val="single"/>
        </w:rPr>
      </w:pPr>
      <w:r w:rsidRPr="00085634">
        <w:rPr>
          <w:b/>
          <w:u w:val="single"/>
        </w:rPr>
        <w:t>INTRODUCTION</w:t>
      </w:r>
    </w:p>
    <w:p w14:paraId="662CA69F" w14:textId="3D2A06B2" w:rsidR="0020204D" w:rsidRPr="009E5E26" w:rsidRDefault="000F7A73" w:rsidP="000F7A73">
      <w:pPr>
        <w:tabs>
          <w:tab w:val="left" w:pos="5138"/>
        </w:tabs>
      </w:pPr>
      <w:r>
        <w:tab/>
      </w:r>
    </w:p>
    <w:p w14:paraId="04DAEA9A" w14:textId="554AA271" w:rsidR="009B1687" w:rsidRPr="009E5E26" w:rsidRDefault="009B1687" w:rsidP="009B1687">
      <w:pPr>
        <w:numPr>
          <w:ilvl w:val="0"/>
          <w:numId w:val="8"/>
        </w:numPr>
        <w:ind w:right="-907"/>
        <w:jc w:val="both"/>
        <w:rPr>
          <w:b/>
          <w:u w:val="single"/>
        </w:rPr>
      </w:pPr>
      <w:r>
        <w:rPr>
          <w:b/>
          <w:u w:val="single"/>
        </w:rPr>
        <w:t>PURPOSE</w:t>
      </w:r>
    </w:p>
    <w:p w14:paraId="662CA6A1" w14:textId="77777777" w:rsidR="0020204D" w:rsidRPr="009E5E26" w:rsidRDefault="0020204D" w:rsidP="003E5E2C">
      <w:pPr>
        <w:jc w:val="both"/>
      </w:pPr>
    </w:p>
    <w:p w14:paraId="662CA6A2" w14:textId="3A04A8DC" w:rsidR="0020204D" w:rsidRPr="009E5E26" w:rsidRDefault="0020204D" w:rsidP="003E5E2C">
      <w:pPr>
        <w:ind w:left="720"/>
        <w:jc w:val="both"/>
      </w:pPr>
      <w:r w:rsidRPr="009E5E26">
        <w:t>UC Riverside Audit &amp; Advisory Services</w:t>
      </w:r>
      <w:r w:rsidR="007C3912">
        <w:t xml:space="preserve"> (A&amp;AS)</w:t>
      </w:r>
      <w:r w:rsidRPr="009E5E26">
        <w:t xml:space="preserve">, as part of a systemwide effort, performed a review of </w:t>
      </w:r>
      <w:r w:rsidR="00C5266C" w:rsidRPr="00C5266C">
        <w:t>the UCR Chancellor’s</w:t>
      </w:r>
      <w:r w:rsidR="00C5266C">
        <w:t xml:space="preserve"> </w:t>
      </w:r>
      <w:r w:rsidRPr="009E5E26">
        <w:t xml:space="preserve">expenses to ensure that the expenditures did not represent elements of compensation, and to </w:t>
      </w:r>
      <w:r>
        <w:t>determine</w:t>
      </w:r>
      <w:r w:rsidRPr="009E5E26">
        <w:t xml:space="preserve"> </w:t>
      </w:r>
      <w:r>
        <w:t xml:space="preserve">appropriateness and </w:t>
      </w:r>
      <w:r w:rsidRPr="009E5E26">
        <w:t xml:space="preserve">general compliance with applicable University policies and procedures. </w:t>
      </w:r>
    </w:p>
    <w:p w14:paraId="662CA6A3" w14:textId="77777777" w:rsidR="0020204D" w:rsidRDefault="0020204D" w:rsidP="00B024C8">
      <w:pPr>
        <w:jc w:val="both"/>
      </w:pPr>
    </w:p>
    <w:p w14:paraId="5BE6083B" w14:textId="77777777" w:rsidR="003E5E2C" w:rsidRPr="009E5E26" w:rsidRDefault="003E5E2C" w:rsidP="00B024C8">
      <w:pPr>
        <w:jc w:val="both"/>
      </w:pPr>
    </w:p>
    <w:p w14:paraId="662CA6A4" w14:textId="77777777" w:rsidR="0020204D" w:rsidRPr="009E5E26" w:rsidRDefault="0020204D" w:rsidP="009B1687">
      <w:pPr>
        <w:numPr>
          <w:ilvl w:val="0"/>
          <w:numId w:val="8"/>
        </w:numPr>
        <w:ind w:right="-907"/>
        <w:jc w:val="both"/>
        <w:rPr>
          <w:b/>
          <w:u w:val="single"/>
        </w:rPr>
      </w:pPr>
      <w:r w:rsidRPr="009E5E26">
        <w:rPr>
          <w:b/>
          <w:u w:val="single"/>
        </w:rPr>
        <w:t>BACKGROUND</w:t>
      </w:r>
    </w:p>
    <w:p w14:paraId="662CA6A5" w14:textId="77777777" w:rsidR="0020204D" w:rsidRPr="009E5E26" w:rsidRDefault="0020204D" w:rsidP="003E5E2C">
      <w:pPr>
        <w:jc w:val="both"/>
        <w:rPr>
          <w:b/>
          <w:u w:val="single"/>
        </w:rPr>
      </w:pPr>
    </w:p>
    <w:p w14:paraId="662CA6A6" w14:textId="21CFE62F" w:rsidR="0020204D" w:rsidRPr="009E5E26" w:rsidRDefault="0020204D" w:rsidP="003E5E2C">
      <w:pPr>
        <w:ind w:left="720"/>
        <w:jc w:val="both"/>
      </w:pPr>
      <w:r w:rsidRPr="009E5E26">
        <w:t xml:space="preserve">In recognition of the unique roles of the President and Chancellors (Executive Officers) in representing the University, the Regents of the </w:t>
      </w:r>
      <w:smartTag w:uri="urn:schemas-microsoft-com:office:smarttags" w:element="place">
        <w:smartTag w:uri="urn:schemas-microsoft-com:office:smarttags" w:element="PlaceType">
          <w:r w:rsidRPr="009E5E26">
            <w:t>University</w:t>
          </w:r>
        </w:smartTag>
        <w:r w:rsidRPr="009E5E26">
          <w:t xml:space="preserve"> of </w:t>
        </w:r>
        <w:smartTag w:uri="urn:schemas-microsoft-com:office:smarttags" w:element="PlaceName">
          <w:r w:rsidRPr="009E5E26">
            <w:t>California</w:t>
          </w:r>
        </w:smartTag>
      </w:smartTag>
      <w:r w:rsidRPr="009E5E26">
        <w:t xml:space="preserve"> require Executive Officers, as a condition of their employment, to live in residences suitable for carrying out their roles and required official duties.  As part of their official duties, Executive Officers are responsible for extending official hospitality to important visitors and guests in conjunction with official functions (i.e. campus activities, alumni and development events, etc.). </w:t>
      </w:r>
      <w:r w:rsidR="006E4144">
        <w:t xml:space="preserve"> </w:t>
      </w:r>
      <w:r w:rsidRPr="009E5E26">
        <w:t>The UCR Chancellor lives in such a University-owned residence.</w:t>
      </w:r>
    </w:p>
    <w:p w14:paraId="662CA6A7" w14:textId="77777777" w:rsidR="0020204D" w:rsidRDefault="0020204D" w:rsidP="00B024C8">
      <w:pPr>
        <w:jc w:val="both"/>
      </w:pPr>
    </w:p>
    <w:p w14:paraId="6229ACD8" w14:textId="3FBE6C65" w:rsidR="003E5E2C" w:rsidRDefault="003E5E2C" w:rsidP="00B024C8">
      <w:pPr>
        <w:jc w:val="both"/>
      </w:pPr>
    </w:p>
    <w:p w14:paraId="075137EF" w14:textId="51DB8C1D" w:rsidR="006E4144" w:rsidRDefault="006E4144" w:rsidP="00B024C8">
      <w:pPr>
        <w:jc w:val="both"/>
      </w:pPr>
    </w:p>
    <w:p w14:paraId="6E9B0887" w14:textId="77777777" w:rsidR="006E4144" w:rsidRPr="009E5E26" w:rsidRDefault="006E4144" w:rsidP="00B024C8">
      <w:pPr>
        <w:jc w:val="both"/>
      </w:pPr>
    </w:p>
    <w:p w14:paraId="662CA6A8" w14:textId="77777777" w:rsidR="0020204D" w:rsidRPr="009E5E26" w:rsidRDefault="0020204D" w:rsidP="009B1687">
      <w:pPr>
        <w:numPr>
          <w:ilvl w:val="0"/>
          <w:numId w:val="8"/>
        </w:numPr>
        <w:jc w:val="both"/>
        <w:rPr>
          <w:b/>
        </w:rPr>
      </w:pPr>
      <w:r w:rsidRPr="009E5E26">
        <w:rPr>
          <w:b/>
          <w:u w:val="single"/>
        </w:rPr>
        <w:lastRenderedPageBreak/>
        <w:t>SCOPE</w:t>
      </w:r>
    </w:p>
    <w:p w14:paraId="662CA6A9" w14:textId="77777777" w:rsidR="0020204D" w:rsidRPr="009E5E26" w:rsidRDefault="0020204D" w:rsidP="003E5E2C">
      <w:pPr>
        <w:jc w:val="both"/>
      </w:pPr>
    </w:p>
    <w:p w14:paraId="1327505B" w14:textId="63196F93" w:rsidR="003E5E2C" w:rsidRDefault="0020204D" w:rsidP="003E5E2C">
      <w:pPr>
        <w:ind w:left="720"/>
        <w:jc w:val="both"/>
      </w:pPr>
      <w:r w:rsidRPr="009E5E26">
        <w:t xml:space="preserve">A&amp;AS reviewed selected records supporting the </w:t>
      </w:r>
      <w:r w:rsidRPr="00C5266C">
        <w:t>Ch</w:t>
      </w:r>
      <w:r w:rsidR="00C5266C" w:rsidRPr="00C5266C">
        <w:t xml:space="preserve">ancellor’s </w:t>
      </w:r>
      <w:r w:rsidR="001A19A8" w:rsidRPr="00C5266C">
        <w:t>expenses for fiscal year</w:t>
      </w:r>
      <w:r w:rsidRPr="00C5266C">
        <w:t xml:space="preserve"> </w:t>
      </w:r>
      <w:r w:rsidR="001A19A8" w:rsidRPr="00C5266C">
        <w:t>(F</w:t>
      </w:r>
      <w:r w:rsidRPr="00C5266C">
        <w:t xml:space="preserve">Y) </w:t>
      </w:r>
      <w:r w:rsidR="000D68CA" w:rsidRPr="00C5266C">
        <w:t>2021-</w:t>
      </w:r>
      <w:r w:rsidR="009C73AD">
        <w:t>20</w:t>
      </w:r>
      <w:r w:rsidR="001A19A8" w:rsidRPr="00C5266C">
        <w:t>22</w:t>
      </w:r>
      <w:r w:rsidRPr="00C5266C">
        <w:t xml:space="preserve"> and performed the following procedures</w:t>
      </w:r>
      <w:r w:rsidR="00347F8F">
        <w:t>:</w:t>
      </w:r>
    </w:p>
    <w:p w14:paraId="4DBB95E7" w14:textId="77777777" w:rsidR="003E5E2C" w:rsidRDefault="003E5E2C" w:rsidP="003E5E2C">
      <w:pPr>
        <w:ind w:left="720"/>
        <w:jc w:val="both"/>
      </w:pPr>
    </w:p>
    <w:p w14:paraId="0AA4CCFC" w14:textId="1059413A" w:rsidR="003E5E2C" w:rsidRDefault="0020204D" w:rsidP="003E5E2C">
      <w:pPr>
        <w:pStyle w:val="ListParagraph"/>
        <w:numPr>
          <w:ilvl w:val="0"/>
          <w:numId w:val="6"/>
        </w:numPr>
        <w:jc w:val="both"/>
      </w:pPr>
      <w:r>
        <w:t xml:space="preserve">Performed review procedures and tests of accounting records of </w:t>
      </w:r>
      <w:r w:rsidR="00C5266C">
        <w:t xml:space="preserve">the </w:t>
      </w:r>
      <w:r w:rsidR="00C5266C" w:rsidRPr="00C5266C">
        <w:t xml:space="preserve">Chancellor’s </w:t>
      </w:r>
      <w:r w:rsidRPr="00C5266C">
        <w:t>expenses</w:t>
      </w:r>
      <w:r>
        <w:t xml:space="preserve"> to determine if the expenditures represented elements of compensation, and for appropriateness and general compliance with University </w:t>
      </w:r>
      <w:r w:rsidR="00163294">
        <w:t>Policy</w:t>
      </w:r>
      <w:r>
        <w:t xml:space="preserve"> Business Finance Bulletin </w:t>
      </w:r>
      <w:r w:rsidR="00D33102">
        <w:t xml:space="preserve">(BFB) </w:t>
      </w:r>
      <w:r>
        <w:t>G-45 “Implementing Requirements on Expenses Incurred in Support of Official Responsibilities of the Pre</w:t>
      </w:r>
      <w:r w:rsidR="000D68CA">
        <w:t>sident and Chancellors</w:t>
      </w:r>
      <w:r w:rsidR="00163294">
        <w:t>”</w:t>
      </w:r>
      <w:r w:rsidR="000D68CA">
        <w:t xml:space="preserve">, </w:t>
      </w:r>
      <w:r w:rsidR="00163294">
        <w:t xml:space="preserve">UC </w:t>
      </w:r>
      <w:r>
        <w:t>Regents</w:t>
      </w:r>
      <w:r w:rsidRPr="00D61D97">
        <w:t xml:space="preserve"> Policy </w:t>
      </w:r>
      <w:r w:rsidRPr="0001583A">
        <w:t xml:space="preserve">7708 </w:t>
      </w:r>
      <w:r>
        <w:t>“</w:t>
      </w:r>
      <w:r w:rsidRPr="00D61D97">
        <w:t>University-Provided Housing</w:t>
      </w:r>
      <w:r w:rsidR="00E113EE">
        <w:t>,”</w:t>
      </w:r>
      <w:r w:rsidRPr="00D61D97">
        <w:t xml:space="preserve"> and adequacy of internal controls.</w:t>
      </w:r>
      <w:r>
        <w:t xml:space="preserve"> </w:t>
      </w:r>
    </w:p>
    <w:p w14:paraId="5F40E4B4" w14:textId="77777777" w:rsidR="003E5E2C" w:rsidRDefault="003E5E2C" w:rsidP="003E5E2C">
      <w:pPr>
        <w:pStyle w:val="ListParagraph"/>
        <w:ind w:left="1440"/>
        <w:jc w:val="both"/>
      </w:pPr>
    </w:p>
    <w:p w14:paraId="011849EC" w14:textId="142CBE9F" w:rsidR="003E5E2C" w:rsidRDefault="0020204D" w:rsidP="003E5E2C">
      <w:pPr>
        <w:pStyle w:val="ListParagraph"/>
        <w:numPr>
          <w:ilvl w:val="0"/>
          <w:numId w:val="6"/>
        </w:numPr>
        <w:jc w:val="both"/>
      </w:pPr>
      <w:r>
        <w:t>Performed a financial analytic review</w:t>
      </w:r>
      <w:r w:rsidR="000D68CA">
        <w:t>/trend analysis</w:t>
      </w:r>
      <w:r>
        <w:t xml:space="preserve"> of </w:t>
      </w:r>
      <w:r w:rsidR="000D68CA">
        <w:t>the Chancellor’s expenditures for FYs 2019-</w:t>
      </w:r>
      <w:r w:rsidR="009C73AD">
        <w:t>20</w:t>
      </w:r>
      <w:r w:rsidR="000D68CA">
        <w:t>20 through 2021-</w:t>
      </w:r>
      <w:r w:rsidR="009C73AD">
        <w:t>20</w:t>
      </w:r>
      <w:r w:rsidR="000D68CA">
        <w:t xml:space="preserve">22. </w:t>
      </w:r>
      <w:r w:rsidR="006E4144">
        <w:t xml:space="preserve"> </w:t>
      </w:r>
      <w:r>
        <w:t xml:space="preserve">This included identifying unusual trends or fluctuations and evaluating the </w:t>
      </w:r>
      <w:r w:rsidR="000D68CA">
        <w:t>reasonableness of</w:t>
      </w:r>
      <w:r>
        <w:t xml:space="preserve"> any variances.</w:t>
      </w:r>
      <w:r w:rsidR="003E5E2C">
        <w:t xml:space="preserve"> </w:t>
      </w:r>
    </w:p>
    <w:p w14:paraId="0E210D72" w14:textId="77777777" w:rsidR="003E5E2C" w:rsidRDefault="003E5E2C" w:rsidP="003E5E2C">
      <w:pPr>
        <w:jc w:val="both"/>
      </w:pPr>
    </w:p>
    <w:p w14:paraId="662CA6B0" w14:textId="059845A7" w:rsidR="0020204D" w:rsidRPr="005B5124" w:rsidRDefault="0020204D" w:rsidP="003E5E2C">
      <w:pPr>
        <w:pStyle w:val="ListParagraph"/>
        <w:numPr>
          <w:ilvl w:val="0"/>
          <w:numId w:val="6"/>
        </w:numPr>
        <w:jc w:val="both"/>
      </w:pPr>
      <w:r w:rsidRPr="005B5124">
        <w:t>Reviewe</w:t>
      </w:r>
      <w:r>
        <w:t xml:space="preserve">d the UCR Annual Report of Fiscal Year Expenses of the Chancellor for FY </w:t>
      </w:r>
      <w:r w:rsidR="000D68CA">
        <w:t>2021-</w:t>
      </w:r>
      <w:r w:rsidR="009C73AD">
        <w:t>20</w:t>
      </w:r>
      <w:r w:rsidR="000D68CA">
        <w:t xml:space="preserve">22 and </w:t>
      </w:r>
      <w:r>
        <w:t>evaluate</w:t>
      </w:r>
      <w:r w:rsidR="000D68CA">
        <w:t>d the</w:t>
      </w:r>
      <w:r>
        <w:t xml:space="preserve"> timeliness of preparation and submission, reasonableness of reported amounts, and compliance with </w:t>
      </w:r>
      <w:r w:rsidR="00D33102">
        <w:t xml:space="preserve">University policy </w:t>
      </w:r>
      <w:r>
        <w:t>G-45.</w:t>
      </w:r>
    </w:p>
    <w:p w14:paraId="662CA6B1" w14:textId="77777777" w:rsidR="0020204D" w:rsidRDefault="0020204D" w:rsidP="003E5E2C">
      <w:pPr>
        <w:jc w:val="both"/>
      </w:pPr>
    </w:p>
    <w:p w14:paraId="259D1196" w14:textId="77777777" w:rsidR="003E5E2C" w:rsidRPr="00DD3798" w:rsidRDefault="003E5E2C" w:rsidP="003E5E2C">
      <w:pPr>
        <w:jc w:val="both"/>
      </w:pPr>
    </w:p>
    <w:p w14:paraId="702902FB" w14:textId="36649B12" w:rsidR="009B1687" w:rsidRPr="009E5E26" w:rsidRDefault="009B1687" w:rsidP="009B1687">
      <w:pPr>
        <w:numPr>
          <w:ilvl w:val="0"/>
          <w:numId w:val="8"/>
        </w:numPr>
        <w:jc w:val="both"/>
        <w:rPr>
          <w:b/>
        </w:rPr>
      </w:pPr>
      <w:r>
        <w:rPr>
          <w:b/>
          <w:u w:val="single"/>
        </w:rPr>
        <w:t>INTERNAL CONTROLS AND COMPLIANCE</w:t>
      </w:r>
    </w:p>
    <w:p w14:paraId="662CA6B3" w14:textId="77777777" w:rsidR="0020204D" w:rsidRDefault="0020204D" w:rsidP="003E5E2C">
      <w:pPr>
        <w:jc w:val="both"/>
      </w:pPr>
    </w:p>
    <w:p w14:paraId="662CA6B4" w14:textId="77777777" w:rsidR="0020204D" w:rsidRDefault="0020204D" w:rsidP="003E5E2C">
      <w:pPr>
        <w:ind w:firstLine="720"/>
        <w:jc w:val="both"/>
      </w:pPr>
      <w:r>
        <w:t>As part of the review, internal controls were examined within the scope of the audit.</w:t>
      </w:r>
    </w:p>
    <w:p w14:paraId="662CA6B5" w14:textId="77777777" w:rsidR="0020204D" w:rsidRDefault="0020204D" w:rsidP="003E5E2C">
      <w:pPr>
        <w:ind w:left="1440"/>
        <w:jc w:val="both"/>
      </w:pPr>
    </w:p>
    <w:p w14:paraId="14A3B98E" w14:textId="70BED423" w:rsidR="003E5E2C" w:rsidRDefault="0020204D" w:rsidP="003E5E2C">
      <w:pPr>
        <w:ind w:left="720"/>
        <w:jc w:val="both"/>
      </w:pPr>
      <w:r>
        <w:t>Internal control is a process designed to provide reasonable, but not absolute, assurance regarding the achievement of objectives in the following categories:</w:t>
      </w:r>
    </w:p>
    <w:p w14:paraId="2DE39B3E" w14:textId="77777777" w:rsidR="003E5E2C" w:rsidRDefault="003E5E2C" w:rsidP="003E5E2C">
      <w:pPr>
        <w:ind w:left="720"/>
        <w:jc w:val="both"/>
      </w:pPr>
    </w:p>
    <w:p w14:paraId="2B8B50A7" w14:textId="63DD31C2" w:rsidR="003E5E2C" w:rsidRDefault="003E5E2C" w:rsidP="003E5E2C">
      <w:pPr>
        <w:pStyle w:val="ListParagraph"/>
        <w:numPr>
          <w:ilvl w:val="0"/>
          <w:numId w:val="7"/>
        </w:numPr>
        <w:jc w:val="both"/>
      </w:pPr>
      <w:r>
        <w:t>E</w:t>
      </w:r>
      <w:r w:rsidR="0020204D">
        <w:t>ffectiveness and efficiency of operations</w:t>
      </w:r>
    </w:p>
    <w:p w14:paraId="7085C57A" w14:textId="77777777" w:rsidR="003E5E2C" w:rsidRDefault="003E5E2C" w:rsidP="003E5E2C">
      <w:pPr>
        <w:pStyle w:val="ListParagraph"/>
        <w:numPr>
          <w:ilvl w:val="0"/>
          <w:numId w:val="7"/>
        </w:numPr>
        <w:jc w:val="both"/>
      </w:pPr>
      <w:r>
        <w:t>R</w:t>
      </w:r>
      <w:r w:rsidR="0020204D">
        <w:t>eliability of financial reporting</w:t>
      </w:r>
      <w:r>
        <w:t xml:space="preserve"> </w:t>
      </w:r>
    </w:p>
    <w:p w14:paraId="662CA6BA" w14:textId="25D82810" w:rsidR="0020204D" w:rsidRDefault="003E5E2C" w:rsidP="003E5E2C">
      <w:pPr>
        <w:pStyle w:val="ListParagraph"/>
        <w:numPr>
          <w:ilvl w:val="0"/>
          <w:numId w:val="7"/>
        </w:numPr>
        <w:jc w:val="both"/>
      </w:pPr>
      <w:r>
        <w:t>C</w:t>
      </w:r>
      <w:r w:rsidR="0020204D">
        <w:t>ompliance with applicable laws and regulations</w:t>
      </w:r>
    </w:p>
    <w:p w14:paraId="67418B31" w14:textId="77777777" w:rsidR="003E5E2C" w:rsidRDefault="003E5E2C" w:rsidP="003E5E2C">
      <w:pPr>
        <w:jc w:val="both"/>
      </w:pPr>
    </w:p>
    <w:p w14:paraId="662CA6BC" w14:textId="37CAC0CF" w:rsidR="0020204D" w:rsidRDefault="0020204D" w:rsidP="003E5E2C">
      <w:pPr>
        <w:ind w:left="720"/>
        <w:jc w:val="both"/>
      </w:pPr>
      <w:r>
        <w:t xml:space="preserve">Substantive audit procedures were performed during </w:t>
      </w:r>
      <w:r w:rsidR="000D68CA">
        <w:t>the months of September</w:t>
      </w:r>
      <w:r w:rsidR="003E5E2C">
        <w:t xml:space="preserve"> 2022</w:t>
      </w:r>
      <w:r w:rsidR="000D68CA">
        <w:t xml:space="preserve"> </w:t>
      </w:r>
      <w:r w:rsidR="000D68CA" w:rsidRPr="003E5E2C">
        <w:t>through</w:t>
      </w:r>
      <w:r w:rsidRPr="003E5E2C">
        <w:t xml:space="preserve"> </w:t>
      </w:r>
      <w:r w:rsidR="003E5E2C" w:rsidRPr="003E5E2C">
        <w:t>June</w:t>
      </w:r>
      <w:r w:rsidR="000D68CA" w:rsidRPr="003E5E2C">
        <w:t xml:space="preserve"> 202</w:t>
      </w:r>
      <w:r w:rsidR="003E5E2C" w:rsidRPr="003E5E2C">
        <w:t>3</w:t>
      </w:r>
      <w:r w:rsidRPr="003E5E2C">
        <w:t xml:space="preserve">. </w:t>
      </w:r>
      <w:r w:rsidR="006E4144">
        <w:t xml:space="preserve"> </w:t>
      </w:r>
      <w:r w:rsidRPr="003E5E2C">
        <w:t>Accordingly</w:t>
      </w:r>
      <w:r>
        <w:t>, this evaluation of internal controls is based on our knowledge as of that time and should be read with that understanding.</w:t>
      </w:r>
    </w:p>
    <w:p w14:paraId="662CA6BD" w14:textId="77777777" w:rsidR="0020204D" w:rsidRDefault="0020204D" w:rsidP="008A08EA"/>
    <w:p w14:paraId="662CA6BE" w14:textId="77777777" w:rsidR="0020204D" w:rsidRPr="00193E6F" w:rsidRDefault="0020204D" w:rsidP="00731565"/>
    <w:p w14:paraId="1ECA3566" w14:textId="0ECCA70D" w:rsidR="00786737" w:rsidRPr="008357AC" w:rsidRDefault="00786737" w:rsidP="00786737">
      <w:pPr>
        <w:numPr>
          <w:ilvl w:val="0"/>
          <w:numId w:val="14"/>
        </w:numPr>
        <w:ind w:left="0"/>
        <w:rPr>
          <w:b/>
          <w:u w:val="single"/>
        </w:rPr>
      </w:pPr>
      <w:r w:rsidRPr="008559EC">
        <w:rPr>
          <w:b/>
          <w:u w:val="single"/>
        </w:rPr>
        <w:t>OBSERVATIONS, COMMENTS</w:t>
      </w:r>
      <w:r w:rsidR="00B2217D">
        <w:rPr>
          <w:b/>
          <w:u w:val="single"/>
        </w:rPr>
        <w:t>,</w:t>
      </w:r>
      <w:r w:rsidRPr="008559EC">
        <w:rPr>
          <w:b/>
          <w:u w:val="single"/>
        </w:rPr>
        <w:t xml:space="preserve"> AND MANAGEMENT </w:t>
      </w:r>
      <w:r w:rsidRPr="008357AC">
        <w:rPr>
          <w:b/>
          <w:u w:val="single"/>
        </w:rPr>
        <w:t>CORRECTIVE ACTION</w:t>
      </w:r>
    </w:p>
    <w:p w14:paraId="662CA6C0" w14:textId="77777777" w:rsidR="0020204D" w:rsidRPr="008357AC" w:rsidRDefault="0020204D" w:rsidP="00731565"/>
    <w:p w14:paraId="42B3F567" w14:textId="19BA76E0" w:rsidR="00E113EE" w:rsidRPr="008357AC" w:rsidRDefault="00EF7706" w:rsidP="00EF7706">
      <w:pPr>
        <w:numPr>
          <w:ilvl w:val="0"/>
          <w:numId w:val="9"/>
        </w:numPr>
        <w:ind w:right="-907"/>
        <w:contextualSpacing/>
        <w:jc w:val="both"/>
      </w:pPr>
      <w:r w:rsidRPr="008357AC">
        <w:rPr>
          <w:b/>
          <w:u w:val="single"/>
        </w:rPr>
        <w:t>Full Accounting Unit (FAU) Classification</w:t>
      </w:r>
    </w:p>
    <w:p w14:paraId="2C40B922" w14:textId="77777777" w:rsidR="008B4DA6" w:rsidRDefault="008B4DA6" w:rsidP="00EF7706">
      <w:pPr>
        <w:ind w:firstLine="720"/>
        <w:contextualSpacing/>
      </w:pPr>
    </w:p>
    <w:p w14:paraId="4DB1F48D" w14:textId="217C7689" w:rsidR="00EF7706" w:rsidRDefault="00076B28" w:rsidP="00EF7706">
      <w:pPr>
        <w:spacing w:after="200"/>
        <w:ind w:left="720"/>
        <w:contextualSpacing/>
        <w:jc w:val="both"/>
      </w:pPr>
      <w:r w:rsidRPr="008357AC">
        <w:rPr>
          <w:b/>
          <w:bCs/>
        </w:rPr>
        <w:t>Criteria:</w:t>
      </w:r>
      <w:r w:rsidR="006E4144">
        <w:rPr>
          <w:b/>
          <w:bCs/>
        </w:rPr>
        <w:t xml:space="preserve"> </w:t>
      </w:r>
      <w:r w:rsidRPr="008357AC">
        <w:t xml:space="preserve"> In accordance with UC Policy </w:t>
      </w:r>
      <w:r w:rsidR="009B332A" w:rsidRPr="008357AC">
        <w:t>BFB G-45</w:t>
      </w:r>
      <w:r w:rsidRPr="008357AC">
        <w:t xml:space="preserve"> – </w:t>
      </w:r>
      <w:r w:rsidR="009B332A" w:rsidRPr="008357AC">
        <w:t>Implementing Requirements on Expenses Incurred in Support of Official Responsibilities of the President and Chancellors</w:t>
      </w:r>
      <w:r w:rsidRPr="008357AC">
        <w:t>,</w:t>
      </w:r>
      <w:r w:rsidR="009B332A" w:rsidRPr="008357AC">
        <w:t xml:space="preserve"> expenses charged to the grounds maintenance expense account relate to the maintenance </w:t>
      </w:r>
      <w:r w:rsidR="009B332A" w:rsidRPr="008357AC">
        <w:lastRenderedPageBreak/>
        <w:t xml:space="preserve">of the grounds associated with the University-provided housing. </w:t>
      </w:r>
      <w:r w:rsidR="006E4144">
        <w:t xml:space="preserve"> </w:t>
      </w:r>
      <w:r w:rsidR="009B332A" w:rsidRPr="008357AC">
        <w:t>Such expenses may include but are not limited</w:t>
      </w:r>
      <w:r w:rsidR="009B332A" w:rsidRPr="009B332A">
        <w:t xml:space="preserve"> to</w:t>
      </w:r>
      <w:r w:rsidR="009B332A">
        <w:t>:</w:t>
      </w:r>
    </w:p>
    <w:p w14:paraId="4A534688" w14:textId="77777777" w:rsidR="00EF7706" w:rsidRDefault="009B332A" w:rsidP="00EF7706">
      <w:pPr>
        <w:pStyle w:val="ListParagraph"/>
        <w:numPr>
          <w:ilvl w:val="0"/>
          <w:numId w:val="16"/>
        </w:numPr>
        <w:spacing w:after="200"/>
        <w:contextualSpacing/>
        <w:jc w:val="both"/>
      </w:pPr>
      <w:r>
        <w:t xml:space="preserve">Landscaping and maintenance of plants, </w:t>
      </w:r>
    </w:p>
    <w:p w14:paraId="6FC6B072" w14:textId="77777777" w:rsidR="00EF7706" w:rsidRDefault="009B332A" w:rsidP="00EF7706">
      <w:pPr>
        <w:pStyle w:val="ListParagraph"/>
        <w:numPr>
          <w:ilvl w:val="0"/>
          <w:numId w:val="16"/>
        </w:numPr>
        <w:spacing w:after="200"/>
        <w:contextualSpacing/>
        <w:jc w:val="both"/>
      </w:pPr>
      <w:r>
        <w:t>Tree trimming, pruning, and removal,</w:t>
      </w:r>
      <w:r w:rsidR="00EF7706">
        <w:t xml:space="preserve"> </w:t>
      </w:r>
    </w:p>
    <w:p w14:paraId="2BE88A43" w14:textId="77777777" w:rsidR="00EF7706" w:rsidRDefault="009B332A" w:rsidP="00EF7706">
      <w:pPr>
        <w:pStyle w:val="ListParagraph"/>
        <w:numPr>
          <w:ilvl w:val="0"/>
          <w:numId w:val="16"/>
        </w:numPr>
        <w:spacing w:after="200"/>
        <w:contextualSpacing/>
        <w:jc w:val="both"/>
      </w:pPr>
      <w:r>
        <w:t>Salaries and benefits of grounds maintenance staff, and</w:t>
      </w:r>
    </w:p>
    <w:p w14:paraId="2ACA2F71" w14:textId="77777777" w:rsidR="00523584" w:rsidRDefault="009B332A" w:rsidP="00523584">
      <w:pPr>
        <w:pStyle w:val="ListParagraph"/>
        <w:numPr>
          <w:ilvl w:val="0"/>
          <w:numId w:val="16"/>
        </w:numPr>
        <w:spacing w:after="200"/>
        <w:contextualSpacing/>
        <w:jc w:val="both"/>
      </w:pPr>
      <w:r>
        <w:t>Pool maintenance, if applicable.</w:t>
      </w:r>
      <w:bookmarkStart w:id="1" w:name="_Hlk129618160"/>
    </w:p>
    <w:p w14:paraId="3DA6B020" w14:textId="20678D88" w:rsidR="00076B28" w:rsidRPr="00C9751A" w:rsidRDefault="00076B28" w:rsidP="008357AC">
      <w:pPr>
        <w:spacing w:after="200"/>
        <w:ind w:left="720"/>
        <w:contextualSpacing/>
        <w:jc w:val="both"/>
      </w:pPr>
      <w:r w:rsidRPr="00523584">
        <w:rPr>
          <w:b/>
          <w:bCs/>
        </w:rPr>
        <w:t>Condition:</w:t>
      </w:r>
      <w:r w:rsidRPr="00511BA8">
        <w:t xml:space="preserve"> </w:t>
      </w:r>
      <w:r w:rsidR="006E4144">
        <w:t xml:space="preserve"> </w:t>
      </w:r>
      <w:r w:rsidRPr="009B332A">
        <w:t xml:space="preserve">During </w:t>
      </w:r>
      <w:bookmarkStart w:id="2" w:name="_Hlk129624732"/>
      <w:r w:rsidRPr="009B332A">
        <w:t xml:space="preserve">our testing of </w:t>
      </w:r>
      <w:r w:rsidR="009B332A" w:rsidRPr="009B332A">
        <w:t>28</w:t>
      </w:r>
      <w:r w:rsidRPr="009B332A">
        <w:t xml:space="preserve"> </w:t>
      </w:r>
      <w:r w:rsidR="009B332A" w:rsidRPr="009B332A">
        <w:t>sampled expense transactions</w:t>
      </w:r>
      <w:r w:rsidRPr="009B332A">
        <w:t xml:space="preserve">, we identified </w:t>
      </w:r>
      <w:r w:rsidR="009B332A" w:rsidRPr="009B332A">
        <w:t>two</w:t>
      </w:r>
      <w:r w:rsidR="009A4C85">
        <w:t xml:space="preserve"> expense transactions for pool maintenance </w:t>
      </w:r>
      <w:r w:rsidR="009A4C85" w:rsidRPr="00C9751A">
        <w:t xml:space="preserve">services that were not charged to the appropriate expense account. </w:t>
      </w:r>
      <w:r w:rsidR="006E4144">
        <w:t xml:space="preserve"> </w:t>
      </w:r>
      <w:r w:rsidR="009A4C85" w:rsidRPr="00C9751A">
        <w:t xml:space="preserve">These expense transactions were erroneously charged to the general maintenance expense account </w:t>
      </w:r>
      <w:r w:rsidR="00CF2B54">
        <w:t xml:space="preserve">in lieu </w:t>
      </w:r>
      <w:r w:rsidR="00C9751A" w:rsidRPr="00C9751A">
        <w:t>of the grounds maintenance expense account</w:t>
      </w:r>
      <w:bookmarkEnd w:id="2"/>
      <w:r w:rsidR="00C9751A" w:rsidRPr="00C9751A">
        <w:t xml:space="preserve"> as required by policy. </w:t>
      </w:r>
    </w:p>
    <w:p w14:paraId="1F479590" w14:textId="77777777" w:rsidR="00C9751A" w:rsidRPr="00C9751A" w:rsidRDefault="00C9751A" w:rsidP="00C9751A">
      <w:pPr>
        <w:spacing w:after="200"/>
        <w:ind w:left="720"/>
        <w:contextualSpacing/>
        <w:jc w:val="both"/>
      </w:pPr>
    </w:p>
    <w:p w14:paraId="3EBF825C" w14:textId="1F06E541" w:rsidR="00076B28" w:rsidRPr="00511BA8" w:rsidRDefault="00C9751A" w:rsidP="00EF7706">
      <w:pPr>
        <w:spacing w:after="200"/>
        <w:ind w:left="720"/>
        <w:contextualSpacing/>
        <w:jc w:val="both"/>
      </w:pPr>
      <w:r w:rsidRPr="00C9751A">
        <w:t>UCR implement</w:t>
      </w:r>
      <w:r w:rsidR="006E4144">
        <w:t>ed</w:t>
      </w:r>
      <w:r w:rsidRPr="00C9751A">
        <w:t xml:space="preserve"> a new financial system </w:t>
      </w:r>
      <w:r w:rsidR="006E4144">
        <w:t xml:space="preserve">in </w:t>
      </w:r>
      <w:r w:rsidRPr="00C9751A">
        <w:t xml:space="preserve">July </w:t>
      </w:r>
      <w:r w:rsidR="00094437" w:rsidRPr="00C9751A">
        <w:t>2023</w:t>
      </w:r>
      <w:r w:rsidR="006E4144">
        <w:t>.</w:t>
      </w:r>
      <w:r>
        <w:t xml:space="preserve"> </w:t>
      </w:r>
      <w:r w:rsidR="006E4144">
        <w:t xml:space="preserve"> The implementation also </w:t>
      </w:r>
      <w:r>
        <w:t>includ</w:t>
      </w:r>
      <w:r w:rsidR="006E4144">
        <w:t>ed</w:t>
      </w:r>
      <w:r>
        <w:t xml:space="preserve"> a new </w:t>
      </w:r>
      <w:r w:rsidR="006E4144">
        <w:t xml:space="preserve">common </w:t>
      </w:r>
      <w:r>
        <w:t xml:space="preserve">chart of accounts. </w:t>
      </w:r>
    </w:p>
    <w:p w14:paraId="53F8C8E1" w14:textId="77777777" w:rsidR="00076B28" w:rsidRDefault="00076B28" w:rsidP="00076B28">
      <w:pPr>
        <w:spacing w:after="200"/>
        <w:contextualSpacing/>
        <w:jc w:val="both"/>
      </w:pPr>
      <w:r>
        <w:tab/>
      </w:r>
    </w:p>
    <w:bookmarkEnd w:id="1"/>
    <w:p w14:paraId="5A54F0EB" w14:textId="0DA17008" w:rsidR="00990BB0" w:rsidRPr="00990BB0" w:rsidRDefault="00076B28" w:rsidP="00990BB0">
      <w:pPr>
        <w:ind w:left="720"/>
        <w:jc w:val="both"/>
        <w:rPr>
          <w:rFonts w:eastAsiaTheme="minorEastAsia"/>
          <w:b/>
          <w:bCs/>
          <w:color w:val="000000" w:themeColor="text1"/>
        </w:rPr>
      </w:pPr>
      <w:r>
        <w:rPr>
          <w:rFonts w:eastAsiaTheme="minorEastAsia"/>
          <w:b/>
          <w:color w:val="000000" w:themeColor="text1"/>
        </w:rPr>
        <w:t>Management</w:t>
      </w:r>
      <w:r w:rsidRPr="00EC5163">
        <w:rPr>
          <w:rFonts w:eastAsiaTheme="minorEastAsia"/>
          <w:b/>
          <w:color w:val="000000" w:themeColor="text1"/>
        </w:rPr>
        <w:t xml:space="preserve"> </w:t>
      </w:r>
      <w:r>
        <w:rPr>
          <w:rFonts w:eastAsiaTheme="minorEastAsia"/>
          <w:b/>
          <w:color w:val="000000" w:themeColor="text1"/>
        </w:rPr>
        <w:t xml:space="preserve">Corrective </w:t>
      </w:r>
      <w:r w:rsidRPr="00EC5163">
        <w:rPr>
          <w:rFonts w:eastAsiaTheme="minorEastAsia"/>
          <w:b/>
          <w:color w:val="000000" w:themeColor="text1"/>
        </w:rPr>
        <w:t>Action Plan</w:t>
      </w:r>
      <w:r>
        <w:rPr>
          <w:rFonts w:eastAsiaTheme="minorEastAsia"/>
          <w:b/>
          <w:color w:val="000000" w:themeColor="text1"/>
        </w:rPr>
        <w:t>:</w:t>
      </w:r>
      <w:r w:rsidRPr="00990BB0">
        <w:rPr>
          <w:rFonts w:eastAsiaTheme="minorEastAsia"/>
          <w:color w:val="000000" w:themeColor="text1"/>
        </w:rPr>
        <w:t xml:space="preserve"> </w:t>
      </w:r>
      <w:r w:rsidR="00B2217D">
        <w:rPr>
          <w:rFonts w:eastAsiaTheme="minorEastAsia"/>
          <w:color w:val="000000" w:themeColor="text1"/>
        </w:rPr>
        <w:t xml:space="preserve"> </w:t>
      </w:r>
      <w:r w:rsidR="00990BB0" w:rsidRPr="00990BB0">
        <w:rPr>
          <w:rFonts w:eastAsiaTheme="minorEastAsia"/>
          <w:color w:val="000000" w:themeColor="text1"/>
        </w:rPr>
        <w:t xml:space="preserve">The responsibilities for management of the residence were previously split between Facilities Services (who manages the residence grounds and associated expenses) and the Chancellor’s Office (who coordinates event activities at the residence and associated expenses) as well as liaisons with Facilities Services. </w:t>
      </w:r>
      <w:r w:rsidR="00B2217D">
        <w:rPr>
          <w:rFonts w:eastAsiaTheme="minorEastAsia"/>
          <w:color w:val="000000" w:themeColor="text1"/>
        </w:rPr>
        <w:t xml:space="preserve"> </w:t>
      </w:r>
      <w:r w:rsidR="00990BB0" w:rsidRPr="00990BB0">
        <w:rPr>
          <w:rFonts w:eastAsiaTheme="minorEastAsia"/>
          <w:color w:val="000000" w:themeColor="text1"/>
        </w:rPr>
        <w:t xml:space="preserve">Therefore, Chancellor’s residence expenses were previously managed by two separate financial teams as well as accountability structures. </w:t>
      </w:r>
      <w:r w:rsidR="00B2217D">
        <w:rPr>
          <w:rFonts w:eastAsiaTheme="minorEastAsia"/>
          <w:color w:val="000000" w:themeColor="text1"/>
        </w:rPr>
        <w:t xml:space="preserve"> </w:t>
      </w:r>
      <w:r w:rsidR="00990BB0" w:rsidRPr="00990BB0">
        <w:rPr>
          <w:rFonts w:eastAsiaTheme="minorEastAsia"/>
          <w:color w:val="000000" w:themeColor="text1"/>
        </w:rPr>
        <w:t xml:space="preserve">Given this added complexity, a decision was made in June of 2022 at the end of FY23 to move A01307 (Executive Housing: Chancellor’s Residence), which was previously within Facilities Services (ORG 30) accountability structure, to be directly within the Chancellor’s (ORG 20) accountability structure. </w:t>
      </w:r>
      <w:r w:rsidR="00B2217D">
        <w:rPr>
          <w:rFonts w:eastAsiaTheme="minorEastAsia"/>
          <w:color w:val="000000" w:themeColor="text1"/>
        </w:rPr>
        <w:t xml:space="preserve"> </w:t>
      </w:r>
      <w:r w:rsidR="00990BB0" w:rsidRPr="00990BB0">
        <w:rPr>
          <w:rFonts w:eastAsiaTheme="minorEastAsia"/>
          <w:color w:val="000000" w:themeColor="text1"/>
        </w:rPr>
        <w:t>This decision was made to support strengthening internal controls around reconciliation of expenses and to ensure that they are within the correct account code and flex field tracking code to align with the reporting requirements on Chancellor’s Residence.</w:t>
      </w:r>
      <w:r w:rsidR="00B2217D">
        <w:rPr>
          <w:rFonts w:eastAsiaTheme="minorEastAsia"/>
          <w:color w:val="000000" w:themeColor="text1"/>
        </w:rPr>
        <w:t xml:space="preserve"> </w:t>
      </w:r>
      <w:r w:rsidR="00990BB0" w:rsidRPr="00990BB0">
        <w:rPr>
          <w:rFonts w:eastAsiaTheme="minorEastAsia"/>
          <w:color w:val="000000" w:themeColor="text1"/>
        </w:rPr>
        <w:t xml:space="preserve"> Additionally, the Chancellor’s Office coordinates regular meetings between Facilities Services and Chancellor’s Office staff to discuss and collaborate on activities at the Chancellor’s residence.</w:t>
      </w:r>
      <w:r w:rsidR="00B2217D">
        <w:rPr>
          <w:rFonts w:eastAsiaTheme="minorEastAsia"/>
          <w:color w:val="000000" w:themeColor="text1"/>
        </w:rPr>
        <w:t xml:space="preserve"> </w:t>
      </w:r>
      <w:r w:rsidR="00990BB0" w:rsidRPr="00990BB0">
        <w:rPr>
          <w:rFonts w:eastAsiaTheme="minorEastAsia"/>
          <w:color w:val="000000" w:themeColor="text1"/>
        </w:rPr>
        <w:t xml:space="preserve"> The financial analyst responsible for managing the expenses of the Chancellor’s residence has been appropriately trained to ensure expenses are categorized appropriately and within policy.</w:t>
      </w:r>
    </w:p>
    <w:p w14:paraId="16D9AE20" w14:textId="37F9AC7C" w:rsidR="006E4144" w:rsidRDefault="006E4144" w:rsidP="00BB540D">
      <w:pPr>
        <w:jc w:val="both"/>
        <w:rPr>
          <w:rFonts w:eastAsiaTheme="minorEastAsia"/>
          <w:b/>
          <w:color w:val="000000" w:themeColor="text1"/>
        </w:rPr>
      </w:pPr>
    </w:p>
    <w:p w14:paraId="005AE6FE" w14:textId="0553A24D" w:rsidR="006E4144" w:rsidRPr="00C15D1C" w:rsidRDefault="00F71924" w:rsidP="00C15D1C">
      <w:pPr>
        <w:ind w:left="720"/>
        <w:jc w:val="both"/>
        <w:rPr>
          <w:rFonts w:eastAsiaTheme="minorEastAsia"/>
          <w:bCs/>
          <w:color w:val="000000" w:themeColor="text1"/>
        </w:rPr>
      </w:pPr>
      <w:r w:rsidRPr="00F71924">
        <w:rPr>
          <w:rFonts w:eastAsiaTheme="minorEastAsia"/>
          <w:bCs/>
          <w:color w:val="000000" w:themeColor="text1"/>
        </w:rPr>
        <w:t xml:space="preserve">The accountability change was completed in FY23 prior to Impact 23 financial system implementation. </w:t>
      </w:r>
      <w:r w:rsidR="00B2217D">
        <w:rPr>
          <w:rFonts w:eastAsiaTheme="minorEastAsia"/>
          <w:bCs/>
          <w:color w:val="000000" w:themeColor="text1"/>
        </w:rPr>
        <w:t xml:space="preserve"> </w:t>
      </w:r>
      <w:r w:rsidRPr="00F71924">
        <w:rPr>
          <w:rFonts w:eastAsiaTheme="minorEastAsia"/>
          <w:bCs/>
          <w:color w:val="000000" w:themeColor="text1"/>
        </w:rPr>
        <w:t>This change is reflected in the golden trees at https://gtv.ucr.edu/home under Org 20, Div 136, D01124.</w:t>
      </w:r>
    </w:p>
    <w:p w14:paraId="2255ACD6" w14:textId="77777777" w:rsidR="00F71924" w:rsidRPr="00EC5163" w:rsidRDefault="00F71924" w:rsidP="00076B28">
      <w:pPr>
        <w:ind w:firstLine="720"/>
        <w:jc w:val="both"/>
        <w:rPr>
          <w:rFonts w:eastAsiaTheme="minorEastAsia"/>
          <w:b/>
          <w:color w:val="000000" w:themeColor="text1"/>
        </w:rPr>
      </w:pPr>
    </w:p>
    <w:p w14:paraId="662CA6F2" w14:textId="6D246D82" w:rsidR="0020204D" w:rsidRPr="00F71924" w:rsidRDefault="00076B28" w:rsidP="00EF7706">
      <w:pPr>
        <w:ind w:firstLine="720"/>
        <w:jc w:val="both"/>
        <w:rPr>
          <w:rFonts w:eastAsiaTheme="minorEastAsia"/>
          <w:bCs/>
          <w:color w:val="000000" w:themeColor="text1"/>
        </w:rPr>
      </w:pPr>
      <w:r w:rsidRPr="00DC4293">
        <w:rPr>
          <w:rFonts w:eastAsiaTheme="minorEastAsia"/>
          <w:b/>
          <w:color w:val="000000" w:themeColor="text1"/>
        </w:rPr>
        <w:t>Expected Implementation Date:</w:t>
      </w:r>
      <w:r>
        <w:rPr>
          <w:rFonts w:eastAsiaTheme="minorEastAsia"/>
          <w:b/>
          <w:color w:val="000000" w:themeColor="text1"/>
        </w:rPr>
        <w:t xml:space="preserve"> </w:t>
      </w:r>
      <w:r w:rsidR="005708DB">
        <w:rPr>
          <w:rFonts w:eastAsiaTheme="minorEastAsia"/>
          <w:b/>
          <w:color w:val="000000" w:themeColor="text1"/>
        </w:rPr>
        <w:t xml:space="preserve"> </w:t>
      </w:r>
      <w:r w:rsidR="00F71924">
        <w:rPr>
          <w:rFonts w:eastAsiaTheme="minorEastAsia"/>
          <w:bCs/>
          <w:color w:val="000000" w:themeColor="text1"/>
        </w:rPr>
        <w:t xml:space="preserve">Implemented. </w:t>
      </w:r>
    </w:p>
    <w:p w14:paraId="662CA6F3" w14:textId="77777777" w:rsidR="0020204D" w:rsidRDefault="0020204D" w:rsidP="00DA5FC5">
      <w:pPr>
        <w:jc w:val="both"/>
      </w:pPr>
    </w:p>
    <w:p w14:paraId="1643C1EA" w14:textId="77777777" w:rsidR="00B2217D" w:rsidRDefault="00B2217D" w:rsidP="00DA5FC5">
      <w:pPr>
        <w:jc w:val="both"/>
      </w:pPr>
    </w:p>
    <w:p w14:paraId="74FDB68D" w14:textId="0181B17D" w:rsidR="00292F7E" w:rsidRPr="00387440" w:rsidRDefault="00292F7E" w:rsidP="00292F7E">
      <w:pPr>
        <w:numPr>
          <w:ilvl w:val="0"/>
          <w:numId w:val="9"/>
        </w:numPr>
        <w:ind w:right="-907"/>
        <w:jc w:val="both"/>
        <w:rPr>
          <w:b/>
          <w:u w:val="single"/>
        </w:rPr>
      </w:pPr>
      <w:r>
        <w:rPr>
          <w:b/>
          <w:u w:val="single"/>
        </w:rPr>
        <w:t>Annual Report of Fiscal Year Expense</w:t>
      </w:r>
      <w:r w:rsidR="00D37DBC">
        <w:rPr>
          <w:b/>
          <w:u w:val="single"/>
        </w:rPr>
        <w:t>s</w:t>
      </w:r>
      <w:r>
        <w:rPr>
          <w:b/>
          <w:u w:val="single"/>
        </w:rPr>
        <w:t xml:space="preserve"> of the President/Chancellor</w:t>
      </w:r>
    </w:p>
    <w:p w14:paraId="662CA6F4" w14:textId="77777777" w:rsidR="008A596D" w:rsidRDefault="008A596D" w:rsidP="00DA5FC5">
      <w:pPr>
        <w:jc w:val="both"/>
      </w:pPr>
    </w:p>
    <w:p w14:paraId="11A2C3A0" w14:textId="5738EF2C" w:rsidR="00B86214" w:rsidRDefault="00292F7E" w:rsidP="00B86214">
      <w:pPr>
        <w:ind w:left="720"/>
        <w:jc w:val="both"/>
      </w:pPr>
      <w:r w:rsidRPr="009B332A">
        <w:rPr>
          <w:b/>
          <w:bCs/>
        </w:rPr>
        <w:t>Criteria:</w:t>
      </w:r>
      <w:r w:rsidRPr="009B332A">
        <w:t xml:space="preserve"> </w:t>
      </w:r>
      <w:r w:rsidR="006E4144">
        <w:t xml:space="preserve"> </w:t>
      </w:r>
      <w:r w:rsidRPr="009B332A">
        <w:t>In accordance with UC Policy BFB G-45 – Implementing Requirements on Expenses</w:t>
      </w:r>
      <w:r>
        <w:t xml:space="preserve"> </w:t>
      </w:r>
      <w:r w:rsidRPr="009B332A">
        <w:t>Incurred in Support of Official Responsibilities of the President and Chancellors,</w:t>
      </w:r>
      <w:r w:rsidR="00DC558F">
        <w:t xml:space="preserve"> a</w:t>
      </w:r>
      <w:r w:rsidR="00B86214">
        <w:t xml:space="preserve">t the conclusion of each fiscal year, each location shall prepare an Annual Report of </w:t>
      </w:r>
      <w:r w:rsidR="00B86214">
        <w:lastRenderedPageBreak/>
        <w:t xml:space="preserve">Expenses of the President/Chancellor (Appendix A) identifying the total expenses incurred by the Officer under Sections II.A. through II.N. of these Standards. </w:t>
      </w:r>
      <w:r w:rsidR="006E4144">
        <w:t xml:space="preserve"> </w:t>
      </w:r>
      <w:r w:rsidR="00B86214">
        <w:t xml:space="preserve">This report must be submitted to the location accounting office by September </w:t>
      </w:r>
      <w:r w:rsidR="0061026B">
        <w:t>1</w:t>
      </w:r>
      <w:r w:rsidR="0061026B" w:rsidRPr="0061026B">
        <w:rPr>
          <w:vertAlign w:val="superscript"/>
        </w:rPr>
        <w:t>st</w:t>
      </w:r>
      <w:r w:rsidR="0061026B">
        <w:t xml:space="preserve"> </w:t>
      </w:r>
      <w:r w:rsidR="00B86214">
        <w:t xml:space="preserve">of each year. </w:t>
      </w:r>
    </w:p>
    <w:p w14:paraId="6AAA2550" w14:textId="77777777" w:rsidR="00B86214" w:rsidRDefault="00B86214" w:rsidP="00B86214">
      <w:pPr>
        <w:ind w:left="720"/>
        <w:jc w:val="both"/>
      </w:pPr>
    </w:p>
    <w:p w14:paraId="16A8E264" w14:textId="1C664CA0" w:rsidR="00292F7E" w:rsidRDefault="00B86214" w:rsidP="00B86214">
      <w:pPr>
        <w:ind w:left="720"/>
        <w:jc w:val="both"/>
      </w:pPr>
      <w:r>
        <w:t>A copy of the report must be sent by the Controller to the Office of the President, pursuant to the due date announced by the Executive Vice President—Chief Financial Officer.</w:t>
      </w:r>
    </w:p>
    <w:p w14:paraId="556B2D53" w14:textId="77777777" w:rsidR="000933A0" w:rsidRDefault="000933A0" w:rsidP="00B86214">
      <w:pPr>
        <w:ind w:left="720"/>
        <w:jc w:val="both"/>
      </w:pPr>
    </w:p>
    <w:p w14:paraId="3F35A0A4" w14:textId="62800B0B" w:rsidR="000933A0" w:rsidRDefault="000933A0" w:rsidP="000933A0">
      <w:pPr>
        <w:ind w:left="720"/>
        <w:jc w:val="both"/>
      </w:pPr>
      <w:r w:rsidRPr="00523584">
        <w:rPr>
          <w:b/>
          <w:bCs/>
        </w:rPr>
        <w:t>Condition:</w:t>
      </w:r>
      <w:r w:rsidRPr="00511BA8">
        <w:t xml:space="preserve"> </w:t>
      </w:r>
      <w:r w:rsidR="009C73AD">
        <w:t xml:space="preserve"> </w:t>
      </w:r>
      <w:r w:rsidRPr="009B332A">
        <w:t xml:space="preserve">During our </w:t>
      </w:r>
      <w:r w:rsidR="00056254">
        <w:t>audit procedures</w:t>
      </w:r>
      <w:r>
        <w:t xml:space="preserve">, </w:t>
      </w:r>
      <w:r w:rsidR="001E464C">
        <w:t>we noted the FY2021-2022 Annual Report of Fiscal Year Expenses of the President/Chancellor was not submitted to the local accounting office by September 1</w:t>
      </w:r>
      <w:r w:rsidR="001E464C" w:rsidRPr="001E464C">
        <w:rPr>
          <w:vertAlign w:val="superscript"/>
        </w:rPr>
        <w:t>st</w:t>
      </w:r>
      <w:r w:rsidR="001E464C">
        <w:t xml:space="preserve"> of the year. </w:t>
      </w:r>
      <w:r w:rsidR="009C73AD">
        <w:t xml:space="preserve"> </w:t>
      </w:r>
      <w:r w:rsidR="001E464C">
        <w:t xml:space="preserve">Furthermore, a copy of the annual report was not submitted by the Controller to the Office of the President. </w:t>
      </w:r>
    </w:p>
    <w:p w14:paraId="64E36874" w14:textId="497DC611" w:rsidR="000933A0" w:rsidRDefault="001E464C" w:rsidP="008357AC">
      <w:pPr>
        <w:jc w:val="both"/>
      </w:pPr>
      <w:r>
        <w:tab/>
      </w:r>
    </w:p>
    <w:p w14:paraId="5C0427F2" w14:textId="15B48E60" w:rsidR="000933A0" w:rsidRPr="00DD4E43" w:rsidRDefault="000933A0" w:rsidP="00C5285E">
      <w:pPr>
        <w:ind w:left="720"/>
        <w:jc w:val="both"/>
        <w:rPr>
          <w:rFonts w:eastAsiaTheme="minorEastAsia"/>
          <w:b/>
          <w:color w:val="000000" w:themeColor="text1"/>
        </w:rPr>
      </w:pPr>
      <w:r>
        <w:rPr>
          <w:rFonts w:eastAsiaTheme="minorEastAsia"/>
          <w:b/>
          <w:color w:val="000000" w:themeColor="text1"/>
        </w:rPr>
        <w:t>Management</w:t>
      </w:r>
      <w:r w:rsidRPr="00EC5163">
        <w:rPr>
          <w:rFonts w:eastAsiaTheme="minorEastAsia"/>
          <w:b/>
          <w:color w:val="000000" w:themeColor="text1"/>
        </w:rPr>
        <w:t xml:space="preserve"> </w:t>
      </w:r>
      <w:r>
        <w:rPr>
          <w:rFonts w:eastAsiaTheme="minorEastAsia"/>
          <w:b/>
          <w:color w:val="000000" w:themeColor="text1"/>
        </w:rPr>
        <w:t xml:space="preserve">Corrective </w:t>
      </w:r>
      <w:r w:rsidRPr="00EC5163">
        <w:rPr>
          <w:rFonts w:eastAsiaTheme="minorEastAsia"/>
          <w:b/>
          <w:color w:val="000000" w:themeColor="text1"/>
        </w:rPr>
        <w:t>Action Plan</w:t>
      </w:r>
      <w:r>
        <w:rPr>
          <w:rFonts w:eastAsiaTheme="minorEastAsia"/>
          <w:b/>
          <w:color w:val="000000" w:themeColor="text1"/>
        </w:rPr>
        <w:t xml:space="preserve">: </w:t>
      </w:r>
      <w:r w:rsidR="00B2217D">
        <w:rPr>
          <w:rFonts w:eastAsiaTheme="minorEastAsia"/>
          <w:b/>
          <w:color w:val="000000" w:themeColor="text1"/>
        </w:rPr>
        <w:t xml:space="preserve"> </w:t>
      </w:r>
      <w:r w:rsidR="00C5285E" w:rsidRPr="00C5285E">
        <w:rPr>
          <w:rFonts w:eastAsiaTheme="minorEastAsia"/>
          <w:bCs/>
          <w:color w:val="000000" w:themeColor="text1"/>
        </w:rPr>
        <w:t xml:space="preserve">The Chief Financial and Administrative Officer (CFAO) for the Chancellor’s Organization will ensure that the annual report to the Campus Controller is submitted by 9/1 of each year.  Understanding that the taxable report (which is a separate report) that is due in November of each year should be validated with this report. </w:t>
      </w:r>
      <w:r w:rsidR="00D06A71">
        <w:rPr>
          <w:rFonts w:eastAsiaTheme="minorEastAsia"/>
          <w:bCs/>
          <w:color w:val="000000" w:themeColor="text1"/>
        </w:rPr>
        <w:t xml:space="preserve"> </w:t>
      </w:r>
      <w:r w:rsidR="00C5285E" w:rsidRPr="00C5285E">
        <w:rPr>
          <w:rFonts w:eastAsiaTheme="minorEastAsia"/>
          <w:bCs/>
          <w:color w:val="000000" w:themeColor="text1"/>
        </w:rPr>
        <w:t>We will also ask that the Campus Controller copy the CFAO on the report submission to the Office of the President to ensure that there is a record of it being submitted each year to UCOP by 12/15 or other due date announced by UCOP.</w:t>
      </w:r>
      <w:r w:rsidR="00D06A71">
        <w:rPr>
          <w:rFonts w:eastAsiaTheme="minorEastAsia"/>
          <w:bCs/>
          <w:color w:val="000000" w:themeColor="text1"/>
        </w:rPr>
        <w:t xml:space="preserve"> </w:t>
      </w:r>
      <w:r w:rsidR="00C5285E" w:rsidRPr="00C5285E">
        <w:rPr>
          <w:rFonts w:eastAsiaTheme="minorEastAsia"/>
          <w:bCs/>
          <w:color w:val="000000" w:themeColor="text1"/>
        </w:rPr>
        <w:t xml:space="preserve"> Additionally, since UCR has a new Campus Controller, the CFAO and S</w:t>
      </w:r>
      <w:r w:rsidR="00660EE0">
        <w:rPr>
          <w:rFonts w:eastAsiaTheme="minorEastAsia"/>
          <w:bCs/>
          <w:color w:val="000000" w:themeColor="text1"/>
        </w:rPr>
        <w:t xml:space="preserve">enior </w:t>
      </w:r>
      <w:r w:rsidR="00C5285E" w:rsidRPr="00C5285E">
        <w:rPr>
          <w:rFonts w:eastAsiaTheme="minorEastAsia"/>
          <w:bCs/>
          <w:color w:val="000000" w:themeColor="text1"/>
        </w:rPr>
        <w:t>Director of Business Operations for the Chancellor’s Organization will meet with the Controller to discuss the Annual Reports and agree upon the submission process and timeline.</w:t>
      </w:r>
    </w:p>
    <w:p w14:paraId="5ECC7EAD" w14:textId="77777777" w:rsidR="00BB540D" w:rsidRPr="00AC69C0" w:rsidRDefault="00BB540D" w:rsidP="00F2608D">
      <w:pPr>
        <w:jc w:val="both"/>
        <w:rPr>
          <w:rFonts w:eastAsiaTheme="minorEastAsia"/>
          <w:b/>
          <w:color w:val="000000" w:themeColor="text1"/>
        </w:rPr>
      </w:pPr>
    </w:p>
    <w:p w14:paraId="30B5D644" w14:textId="405270B9" w:rsidR="000933A0" w:rsidRPr="005D0BC2" w:rsidRDefault="000933A0" w:rsidP="000933A0">
      <w:pPr>
        <w:ind w:firstLine="720"/>
        <w:jc w:val="both"/>
        <w:rPr>
          <w:rFonts w:eastAsiaTheme="minorEastAsia"/>
          <w:bCs/>
          <w:color w:val="000000" w:themeColor="text1"/>
        </w:rPr>
      </w:pPr>
      <w:r w:rsidRPr="00AC69C0">
        <w:rPr>
          <w:rFonts w:eastAsiaTheme="minorEastAsia"/>
          <w:b/>
          <w:color w:val="000000" w:themeColor="text1"/>
        </w:rPr>
        <w:t>Expected Implementation Date:</w:t>
      </w:r>
      <w:r w:rsidR="005708DB">
        <w:rPr>
          <w:rFonts w:eastAsiaTheme="minorEastAsia"/>
          <w:b/>
          <w:color w:val="000000" w:themeColor="text1"/>
        </w:rPr>
        <w:t xml:space="preserve"> </w:t>
      </w:r>
      <w:r w:rsidR="005D0BC2" w:rsidRPr="00AC69C0">
        <w:rPr>
          <w:rFonts w:eastAsiaTheme="minorEastAsia"/>
          <w:b/>
          <w:color w:val="000000" w:themeColor="text1"/>
        </w:rPr>
        <w:t xml:space="preserve"> </w:t>
      </w:r>
      <w:r w:rsidR="006618B5">
        <w:rPr>
          <w:rFonts w:eastAsiaTheme="minorEastAsia"/>
          <w:bCs/>
          <w:color w:val="000000" w:themeColor="text1"/>
        </w:rPr>
        <w:t>Implemented</w:t>
      </w:r>
      <w:r w:rsidR="00087A21" w:rsidRPr="00AC69C0">
        <w:rPr>
          <w:rFonts w:eastAsiaTheme="minorEastAsia"/>
          <w:bCs/>
          <w:color w:val="000000" w:themeColor="text1"/>
        </w:rPr>
        <w:t>.</w:t>
      </w:r>
    </w:p>
    <w:p w14:paraId="065A949E" w14:textId="77777777" w:rsidR="000933A0" w:rsidRDefault="000933A0" w:rsidP="000933A0">
      <w:pPr>
        <w:ind w:left="720"/>
        <w:jc w:val="both"/>
      </w:pPr>
    </w:p>
    <w:p w14:paraId="1D8AA509" w14:textId="77777777" w:rsidR="0008542C" w:rsidRDefault="0008542C" w:rsidP="000933A0">
      <w:pPr>
        <w:ind w:left="720"/>
        <w:jc w:val="both"/>
      </w:pPr>
    </w:p>
    <w:p w14:paraId="33EA11E6" w14:textId="19565F58" w:rsidR="0008542C" w:rsidRPr="005C1CDD" w:rsidRDefault="00880CD6" w:rsidP="0008542C">
      <w:pPr>
        <w:numPr>
          <w:ilvl w:val="0"/>
          <w:numId w:val="9"/>
        </w:numPr>
        <w:ind w:right="-907"/>
        <w:jc w:val="both"/>
        <w:rPr>
          <w:b/>
          <w:u w:val="single"/>
        </w:rPr>
      </w:pPr>
      <w:r w:rsidRPr="005C1CDD">
        <w:rPr>
          <w:b/>
          <w:u w:val="single"/>
        </w:rPr>
        <w:t xml:space="preserve">Invoice </w:t>
      </w:r>
      <w:r w:rsidR="005C1CDD">
        <w:rPr>
          <w:b/>
          <w:u w:val="single"/>
        </w:rPr>
        <w:t>Documentation Retention</w:t>
      </w:r>
    </w:p>
    <w:p w14:paraId="2D9E7B39" w14:textId="77777777" w:rsidR="0008542C" w:rsidRPr="005C1CDD" w:rsidRDefault="0008542C" w:rsidP="000933A0">
      <w:pPr>
        <w:ind w:left="720"/>
        <w:jc w:val="both"/>
      </w:pPr>
    </w:p>
    <w:p w14:paraId="734B582E" w14:textId="51937131" w:rsidR="005C1CDD" w:rsidRPr="005C1CDD" w:rsidRDefault="0008542C" w:rsidP="008357AC">
      <w:pPr>
        <w:spacing w:after="200"/>
        <w:ind w:left="720"/>
        <w:contextualSpacing/>
        <w:jc w:val="both"/>
      </w:pPr>
      <w:r w:rsidRPr="005C1CDD">
        <w:rPr>
          <w:b/>
          <w:bCs/>
        </w:rPr>
        <w:t>Criteria:</w:t>
      </w:r>
      <w:r w:rsidRPr="005C1CDD">
        <w:t xml:space="preserve"> </w:t>
      </w:r>
      <w:r w:rsidR="009C73AD">
        <w:t xml:space="preserve"> </w:t>
      </w:r>
      <w:r w:rsidRPr="005C1CDD">
        <w:t>In accordance wit</w:t>
      </w:r>
      <w:r w:rsidR="0044553A" w:rsidRPr="005C1CDD">
        <w:t xml:space="preserve">h </w:t>
      </w:r>
      <w:r w:rsidR="005203D0">
        <w:t xml:space="preserve">UC </w:t>
      </w:r>
      <w:r w:rsidR="005C1CDD" w:rsidRPr="005C1CDD">
        <w:t xml:space="preserve">Accounting Manual chapter A-000-7 – Official Documentation Required in Support of University Financial Transactions, documents and certifications must be retained in the Accounting Office according to the nature of the transaction, except that confidential documents or agreements bearing other information extraneous to the disbursement process may be retained, by approval of the Chancellor, in other appropriate offices. </w:t>
      </w:r>
      <w:r w:rsidR="009C73AD">
        <w:t xml:space="preserve"> </w:t>
      </w:r>
      <w:r w:rsidR="005C1CDD" w:rsidRPr="005C1CDD">
        <w:t>Specifically, unless stated otherwise, the following documentations and certifications must be retained in the Accounting Office:</w:t>
      </w:r>
    </w:p>
    <w:p w14:paraId="12AE43C1" w14:textId="77777777" w:rsidR="008357AC" w:rsidRDefault="005C1CDD" w:rsidP="008357AC">
      <w:pPr>
        <w:pStyle w:val="ListParagraph"/>
        <w:numPr>
          <w:ilvl w:val="0"/>
          <w:numId w:val="18"/>
        </w:numPr>
        <w:spacing w:after="200"/>
        <w:contextualSpacing/>
        <w:jc w:val="both"/>
      </w:pPr>
      <w:r w:rsidRPr="005C1CDD">
        <w:t>Purchase of goods and services by specific purchase order (or other contract)</w:t>
      </w:r>
      <w:r w:rsidR="008357AC">
        <w:t xml:space="preserve"> </w:t>
      </w:r>
    </w:p>
    <w:p w14:paraId="1DC4FC1D" w14:textId="77777777" w:rsidR="008357AC" w:rsidRDefault="005C1CDD" w:rsidP="008357AC">
      <w:pPr>
        <w:pStyle w:val="ListParagraph"/>
        <w:numPr>
          <w:ilvl w:val="1"/>
          <w:numId w:val="18"/>
        </w:numPr>
        <w:spacing w:after="200"/>
        <w:contextualSpacing/>
        <w:jc w:val="both"/>
      </w:pPr>
      <w:r w:rsidRPr="005C1CDD">
        <w:t>A copy of the purchase order</w:t>
      </w:r>
      <w:r w:rsidR="008357AC">
        <w:t xml:space="preserve"> </w:t>
      </w:r>
    </w:p>
    <w:p w14:paraId="0FCCF55F" w14:textId="4B0039E1" w:rsidR="00880CD6" w:rsidRDefault="005C1CDD" w:rsidP="008357AC">
      <w:pPr>
        <w:pStyle w:val="ListParagraph"/>
        <w:numPr>
          <w:ilvl w:val="1"/>
          <w:numId w:val="18"/>
        </w:numPr>
        <w:spacing w:after="200"/>
        <w:contextualSpacing/>
        <w:jc w:val="both"/>
      </w:pPr>
      <w:r w:rsidRPr="005C1CDD">
        <w:t>The invoice</w:t>
      </w:r>
    </w:p>
    <w:p w14:paraId="0B4ACDFC" w14:textId="206A5186" w:rsidR="0008542C" w:rsidRDefault="00880CD6" w:rsidP="008357AC">
      <w:pPr>
        <w:spacing w:after="200"/>
        <w:ind w:left="720"/>
        <w:contextualSpacing/>
        <w:jc w:val="both"/>
      </w:pPr>
      <w:r w:rsidRPr="00523584">
        <w:rPr>
          <w:b/>
          <w:bCs/>
        </w:rPr>
        <w:t>Condition:</w:t>
      </w:r>
      <w:r w:rsidRPr="00511BA8">
        <w:t xml:space="preserve"> </w:t>
      </w:r>
      <w:r w:rsidR="008357AC" w:rsidRPr="009B332A">
        <w:t xml:space="preserve">During our testing of 28 sampled expense transactions, </w:t>
      </w:r>
      <w:r w:rsidR="007310F7">
        <w:t>we noted proper invoice documentation retention was not maintained for</w:t>
      </w:r>
      <w:r w:rsidR="008357AC" w:rsidRPr="009B332A">
        <w:t xml:space="preserve"> two</w:t>
      </w:r>
      <w:r w:rsidR="008357AC">
        <w:t xml:space="preserve"> expense transactions for pool maintenance </w:t>
      </w:r>
      <w:r w:rsidR="008357AC" w:rsidRPr="00C9751A">
        <w:t xml:space="preserve">services. </w:t>
      </w:r>
      <w:r w:rsidR="009C73AD">
        <w:t xml:space="preserve"> </w:t>
      </w:r>
      <w:r w:rsidR="001A2623">
        <w:t xml:space="preserve">The department was not able to locate the invoices for these two expense transactions. </w:t>
      </w:r>
    </w:p>
    <w:p w14:paraId="663A1FAF" w14:textId="77777777" w:rsidR="001A2623" w:rsidRDefault="001A2623" w:rsidP="001B0F64">
      <w:pPr>
        <w:spacing w:after="200"/>
        <w:contextualSpacing/>
        <w:jc w:val="both"/>
      </w:pPr>
    </w:p>
    <w:p w14:paraId="4952B470" w14:textId="7BB06A15" w:rsidR="008B4DA6" w:rsidRPr="00DD4E43" w:rsidRDefault="008B4DA6" w:rsidP="00DB4538">
      <w:pPr>
        <w:ind w:left="720"/>
        <w:jc w:val="both"/>
        <w:rPr>
          <w:rFonts w:eastAsiaTheme="minorEastAsia"/>
          <w:b/>
          <w:color w:val="000000" w:themeColor="text1"/>
        </w:rPr>
      </w:pPr>
      <w:r>
        <w:rPr>
          <w:rFonts w:eastAsiaTheme="minorEastAsia"/>
          <w:b/>
          <w:color w:val="000000" w:themeColor="text1"/>
        </w:rPr>
        <w:t>Management</w:t>
      </w:r>
      <w:r w:rsidRPr="00EC5163">
        <w:rPr>
          <w:rFonts w:eastAsiaTheme="minorEastAsia"/>
          <w:b/>
          <w:color w:val="000000" w:themeColor="text1"/>
        </w:rPr>
        <w:t xml:space="preserve"> </w:t>
      </w:r>
      <w:r>
        <w:rPr>
          <w:rFonts w:eastAsiaTheme="minorEastAsia"/>
          <w:b/>
          <w:color w:val="000000" w:themeColor="text1"/>
        </w:rPr>
        <w:t xml:space="preserve">Corrective </w:t>
      </w:r>
      <w:r w:rsidRPr="00EC5163">
        <w:rPr>
          <w:rFonts w:eastAsiaTheme="minorEastAsia"/>
          <w:b/>
          <w:color w:val="000000" w:themeColor="text1"/>
        </w:rPr>
        <w:t>Action Plan</w:t>
      </w:r>
      <w:r>
        <w:rPr>
          <w:rFonts w:eastAsiaTheme="minorEastAsia"/>
          <w:b/>
          <w:color w:val="000000" w:themeColor="text1"/>
        </w:rPr>
        <w:t xml:space="preserve">: </w:t>
      </w:r>
      <w:r w:rsidR="00DB4538" w:rsidRPr="00DB4538">
        <w:rPr>
          <w:rFonts w:eastAsiaTheme="minorEastAsia"/>
          <w:bCs/>
          <w:color w:val="000000" w:themeColor="text1"/>
        </w:rPr>
        <w:t xml:space="preserve">The financial expenses for the Chancellor’s residence have now been consolidated into one accountability structure (Org 20) and </w:t>
      </w:r>
      <w:r w:rsidR="00DB4538" w:rsidRPr="00DB4538">
        <w:rPr>
          <w:rFonts w:eastAsiaTheme="minorEastAsia"/>
          <w:bCs/>
          <w:color w:val="000000" w:themeColor="text1"/>
        </w:rPr>
        <w:lastRenderedPageBreak/>
        <w:t xml:space="preserve">Financial Team as previously outlined. </w:t>
      </w:r>
      <w:r w:rsidR="00D06A71">
        <w:rPr>
          <w:rFonts w:eastAsiaTheme="minorEastAsia"/>
          <w:bCs/>
          <w:color w:val="000000" w:themeColor="text1"/>
        </w:rPr>
        <w:t xml:space="preserve"> </w:t>
      </w:r>
      <w:r w:rsidR="00DB4538" w:rsidRPr="00DB4538">
        <w:rPr>
          <w:rFonts w:eastAsiaTheme="minorEastAsia"/>
          <w:bCs/>
          <w:color w:val="000000" w:themeColor="text1"/>
        </w:rPr>
        <w:t xml:space="preserve">This will assist with strengthening internal controls. </w:t>
      </w:r>
      <w:r w:rsidR="00D06A71">
        <w:rPr>
          <w:rFonts w:eastAsiaTheme="minorEastAsia"/>
          <w:bCs/>
          <w:color w:val="000000" w:themeColor="text1"/>
        </w:rPr>
        <w:t xml:space="preserve"> </w:t>
      </w:r>
      <w:r w:rsidR="00DB4538" w:rsidRPr="00DB4538">
        <w:rPr>
          <w:rFonts w:eastAsiaTheme="minorEastAsia"/>
          <w:bCs/>
          <w:color w:val="000000" w:themeColor="text1"/>
        </w:rPr>
        <w:t xml:space="preserve">Additionally, it is important to mention that all invoices are sent directly to Central Accounting as instructed by our campus protocols and not submitted to departments unless it meets a specific threshold that requires financial signature approval which is coordinated by Accounts Payable. </w:t>
      </w:r>
      <w:r w:rsidR="00D06A71">
        <w:rPr>
          <w:rFonts w:eastAsiaTheme="minorEastAsia"/>
          <w:bCs/>
          <w:color w:val="000000" w:themeColor="text1"/>
        </w:rPr>
        <w:t xml:space="preserve"> </w:t>
      </w:r>
      <w:r w:rsidR="00DB4538" w:rsidRPr="00DB4538">
        <w:rPr>
          <w:rFonts w:eastAsiaTheme="minorEastAsia"/>
          <w:bCs/>
          <w:color w:val="000000" w:themeColor="text1"/>
        </w:rPr>
        <w:t xml:space="preserve">These specific expenses in question were paid off of a blanket purchase order since they are for regular pool maintenance. </w:t>
      </w:r>
      <w:r w:rsidR="00D06A71">
        <w:rPr>
          <w:rFonts w:eastAsiaTheme="minorEastAsia"/>
          <w:bCs/>
          <w:color w:val="000000" w:themeColor="text1"/>
        </w:rPr>
        <w:t xml:space="preserve"> </w:t>
      </w:r>
      <w:r w:rsidR="00DB4538" w:rsidRPr="00DB4538">
        <w:rPr>
          <w:rFonts w:eastAsiaTheme="minorEastAsia"/>
          <w:bCs/>
          <w:color w:val="000000" w:themeColor="text1"/>
        </w:rPr>
        <w:t xml:space="preserve">The department uses the system generated invoices to reconcile those expenses. </w:t>
      </w:r>
      <w:r w:rsidR="00D06A71">
        <w:rPr>
          <w:rFonts w:eastAsiaTheme="minorEastAsia"/>
          <w:bCs/>
          <w:color w:val="000000" w:themeColor="text1"/>
        </w:rPr>
        <w:t xml:space="preserve"> </w:t>
      </w:r>
      <w:r w:rsidR="00DB4538" w:rsidRPr="00DB4538">
        <w:rPr>
          <w:rFonts w:eastAsiaTheme="minorEastAsia"/>
          <w:bCs/>
          <w:color w:val="000000" w:themeColor="text1"/>
        </w:rPr>
        <w:t xml:space="preserve">Those invoices have been attached to this audit response. </w:t>
      </w:r>
      <w:r w:rsidR="00D06A71">
        <w:rPr>
          <w:rFonts w:eastAsiaTheme="minorEastAsia"/>
          <w:bCs/>
          <w:color w:val="000000" w:themeColor="text1"/>
        </w:rPr>
        <w:t xml:space="preserve"> </w:t>
      </w:r>
      <w:r w:rsidR="00DB4538" w:rsidRPr="00DB4538">
        <w:rPr>
          <w:rFonts w:eastAsiaTheme="minorEastAsia"/>
          <w:bCs/>
          <w:color w:val="000000" w:themeColor="text1"/>
        </w:rPr>
        <w:t xml:space="preserve">Any variations on an amount associated with a blanket purchase order are researched and followed up with the vendor at the time of financial reconciliation. </w:t>
      </w:r>
      <w:r w:rsidR="00D06A71">
        <w:rPr>
          <w:rFonts w:eastAsiaTheme="minorEastAsia"/>
          <w:bCs/>
          <w:color w:val="000000" w:themeColor="text1"/>
        </w:rPr>
        <w:t xml:space="preserve"> </w:t>
      </w:r>
      <w:r w:rsidR="00DB4538" w:rsidRPr="00DB4538">
        <w:rPr>
          <w:rFonts w:eastAsiaTheme="minorEastAsia"/>
          <w:bCs/>
          <w:color w:val="000000" w:themeColor="text1"/>
        </w:rPr>
        <w:t xml:space="preserve">Additionally, the Financial Analyst responsible for management of the Chancellor’s residence will ensure that appropriate backup is retained on file.  </w:t>
      </w:r>
    </w:p>
    <w:p w14:paraId="04E0F7EC" w14:textId="29C64AA9" w:rsidR="008B4DA6" w:rsidRDefault="008B4DA6" w:rsidP="008B4DA6">
      <w:pPr>
        <w:ind w:firstLine="720"/>
        <w:jc w:val="both"/>
        <w:rPr>
          <w:rFonts w:eastAsiaTheme="minorEastAsia"/>
          <w:b/>
          <w:color w:val="000000" w:themeColor="text1"/>
        </w:rPr>
      </w:pPr>
    </w:p>
    <w:p w14:paraId="731FD9F5" w14:textId="39E2AECD" w:rsidR="00B12296" w:rsidRPr="00B12296" w:rsidRDefault="00B12296" w:rsidP="00B12296">
      <w:pPr>
        <w:ind w:left="720"/>
        <w:jc w:val="both"/>
        <w:rPr>
          <w:rFonts w:eastAsiaTheme="minorEastAsia"/>
          <w:bCs/>
          <w:color w:val="000000" w:themeColor="text1"/>
        </w:rPr>
      </w:pPr>
      <w:r w:rsidRPr="00B12296">
        <w:rPr>
          <w:rFonts w:eastAsiaTheme="minorEastAsia"/>
          <w:bCs/>
          <w:color w:val="000000" w:themeColor="text1"/>
        </w:rPr>
        <w:t xml:space="preserve">The accountability change was completed in FY23 prior to Impact 23 financial system implementation. </w:t>
      </w:r>
      <w:r w:rsidR="00D06A71">
        <w:rPr>
          <w:rFonts w:eastAsiaTheme="minorEastAsia"/>
          <w:bCs/>
          <w:color w:val="000000" w:themeColor="text1"/>
        </w:rPr>
        <w:t xml:space="preserve"> </w:t>
      </w:r>
      <w:r w:rsidRPr="00B12296">
        <w:rPr>
          <w:rFonts w:eastAsiaTheme="minorEastAsia"/>
          <w:bCs/>
          <w:color w:val="000000" w:themeColor="text1"/>
        </w:rPr>
        <w:t xml:space="preserve">A </w:t>
      </w:r>
      <w:r w:rsidRPr="00C755D3">
        <w:rPr>
          <w:rFonts w:eastAsiaTheme="minorEastAsia"/>
          <w:bCs/>
          <w:color w:val="000000" w:themeColor="text1"/>
        </w:rPr>
        <w:t xml:space="preserve">meeting </w:t>
      </w:r>
      <w:r w:rsidR="00C755D3" w:rsidRPr="00C755D3">
        <w:rPr>
          <w:rFonts w:eastAsiaTheme="minorEastAsia"/>
          <w:bCs/>
          <w:color w:val="000000" w:themeColor="text1"/>
        </w:rPr>
        <w:t>was</w:t>
      </w:r>
      <w:r w:rsidRPr="00C755D3">
        <w:rPr>
          <w:rFonts w:eastAsiaTheme="minorEastAsia"/>
          <w:bCs/>
          <w:color w:val="000000" w:themeColor="text1"/>
        </w:rPr>
        <w:t xml:space="preserve"> also </w:t>
      </w:r>
      <w:r w:rsidR="00C755D3" w:rsidRPr="00C755D3">
        <w:rPr>
          <w:rFonts w:eastAsiaTheme="minorEastAsia"/>
          <w:bCs/>
          <w:color w:val="000000" w:themeColor="text1"/>
        </w:rPr>
        <w:t>held</w:t>
      </w:r>
      <w:r w:rsidRPr="00C755D3">
        <w:rPr>
          <w:rFonts w:eastAsiaTheme="minorEastAsia"/>
          <w:bCs/>
          <w:color w:val="000000" w:themeColor="text1"/>
        </w:rPr>
        <w:t xml:space="preserve"> with the Financial</w:t>
      </w:r>
      <w:r w:rsidRPr="00B12296">
        <w:rPr>
          <w:rFonts w:eastAsiaTheme="minorEastAsia"/>
          <w:bCs/>
          <w:color w:val="000000" w:themeColor="text1"/>
        </w:rPr>
        <w:t xml:space="preserve"> Team to discuss and ensure appropriate backup documentation is always retained.</w:t>
      </w:r>
      <w:r w:rsidR="00C755D3">
        <w:rPr>
          <w:rFonts w:eastAsiaTheme="minorEastAsia"/>
          <w:bCs/>
          <w:color w:val="000000" w:themeColor="text1"/>
        </w:rPr>
        <w:t xml:space="preserve"> </w:t>
      </w:r>
    </w:p>
    <w:p w14:paraId="372B0C16" w14:textId="77777777" w:rsidR="009C73AD" w:rsidRPr="00EC5163" w:rsidRDefault="009C73AD" w:rsidP="008B4DA6">
      <w:pPr>
        <w:ind w:firstLine="720"/>
        <w:jc w:val="both"/>
        <w:rPr>
          <w:rFonts w:eastAsiaTheme="minorEastAsia"/>
          <w:b/>
          <w:color w:val="000000" w:themeColor="text1"/>
        </w:rPr>
      </w:pPr>
    </w:p>
    <w:p w14:paraId="4593CAF0" w14:textId="2E253567" w:rsidR="008B4DA6" w:rsidRPr="00786737" w:rsidRDefault="008B4DA6" w:rsidP="008B4DA6">
      <w:pPr>
        <w:ind w:firstLine="720"/>
        <w:jc w:val="both"/>
        <w:rPr>
          <w:rFonts w:eastAsiaTheme="minorEastAsia"/>
          <w:b/>
          <w:color w:val="000000" w:themeColor="text1"/>
        </w:rPr>
      </w:pPr>
      <w:r w:rsidRPr="00DC4293">
        <w:rPr>
          <w:rFonts w:eastAsiaTheme="minorEastAsia"/>
          <w:b/>
          <w:color w:val="000000" w:themeColor="text1"/>
        </w:rPr>
        <w:t>Expected Implementation Date:</w:t>
      </w:r>
      <w:r w:rsidR="005708DB">
        <w:rPr>
          <w:rFonts w:eastAsiaTheme="minorEastAsia"/>
          <w:b/>
          <w:color w:val="000000" w:themeColor="text1"/>
        </w:rPr>
        <w:t xml:space="preserve"> </w:t>
      </w:r>
      <w:r>
        <w:rPr>
          <w:rFonts w:eastAsiaTheme="minorEastAsia"/>
          <w:b/>
          <w:color w:val="000000" w:themeColor="text1"/>
        </w:rPr>
        <w:t xml:space="preserve"> </w:t>
      </w:r>
      <w:r w:rsidR="00932CB4" w:rsidRPr="00932CB4">
        <w:rPr>
          <w:rFonts w:eastAsiaTheme="minorEastAsia"/>
          <w:bCs/>
          <w:color w:val="000000" w:themeColor="text1"/>
        </w:rPr>
        <w:t>Implemented.</w:t>
      </w:r>
      <w:r w:rsidR="00932CB4">
        <w:rPr>
          <w:rFonts w:eastAsiaTheme="minorEastAsia"/>
          <w:b/>
          <w:color w:val="000000" w:themeColor="text1"/>
        </w:rPr>
        <w:t xml:space="preserve"> </w:t>
      </w:r>
    </w:p>
    <w:p w14:paraId="01F25926" w14:textId="77777777" w:rsidR="008B4DA6" w:rsidRDefault="008B4DA6" w:rsidP="008357AC">
      <w:pPr>
        <w:spacing w:after="200"/>
        <w:ind w:left="720"/>
        <w:contextualSpacing/>
        <w:jc w:val="both"/>
      </w:pPr>
    </w:p>
    <w:sectPr w:rsidR="008B4DA6" w:rsidSect="00D32738">
      <w:headerReference w:type="even" r:id="rId14"/>
      <w:headerReference w:type="default" r:id="rId15"/>
      <w:headerReference w:type="first" r:id="rId16"/>
      <w:pgSz w:w="12240" w:h="15840" w:code="1"/>
      <w:pgMar w:top="1440" w:right="1440" w:bottom="1440" w:left="1440"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F448" w14:textId="77777777" w:rsidR="001D6FF9" w:rsidRDefault="001D6FF9">
      <w:r>
        <w:separator/>
      </w:r>
    </w:p>
  </w:endnote>
  <w:endnote w:type="continuationSeparator" w:id="0">
    <w:p w14:paraId="3F2D550C" w14:textId="77777777" w:rsidR="001D6FF9" w:rsidRDefault="001D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Sans-Regula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A8CB" w14:textId="77777777" w:rsidR="001D6FF9" w:rsidRDefault="001D6FF9">
      <w:r>
        <w:separator/>
      </w:r>
    </w:p>
  </w:footnote>
  <w:footnote w:type="continuationSeparator" w:id="0">
    <w:p w14:paraId="1A6CBF5D" w14:textId="77777777" w:rsidR="001D6FF9" w:rsidRDefault="001D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A6F9" w14:textId="30DFDDC1" w:rsidR="00D37DBC" w:rsidRDefault="0020204D" w:rsidP="00FC0D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CA6FA" w14:textId="77777777" w:rsidR="00D37DBC" w:rsidRDefault="00D37D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A6FB" w14:textId="174AF315" w:rsidR="00D37DBC" w:rsidRDefault="00D37DBC">
    <w:pPr>
      <w:pStyle w:val="Header"/>
      <w:tabs>
        <w:tab w:val="left" w:pos="6570"/>
      </w:tabs>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A6FC" w14:textId="75935990" w:rsidR="00D37DBC" w:rsidRDefault="0020204D">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2A4A" w14:textId="37878F20" w:rsidR="00A8750E" w:rsidRDefault="00A875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0AE7" w14:textId="668A9AEF" w:rsidR="005270F3" w:rsidRPr="00731A5A" w:rsidRDefault="005270F3" w:rsidP="005270F3">
    <w:pPr>
      <w:pStyle w:val="Header"/>
    </w:pPr>
    <w:r w:rsidRPr="00731A5A">
      <w:t>R202</w:t>
    </w:r>
    <w:r>
      <w:t>3</w:t>
    </w:r>
    <w:r w:rsidRPr="00731A5A">
      <w:t>-0</w:t>
    </w:r>
    <w:r>
      <w:t>1</w:t>
    </w:r>
    <w:r w:rsidRPr="00731A5A">
      <w:tab/>
    </w:r>
    <w:r w:rsidRPr="00731A5A">
      <w:tab/>
    </w:r>
    <w:r w:rsidR="00BD7D22">
      <w:t xml:space="preserve">January </w:t>
    </w:r>
    <w:r w:rsidR="008813C9">
      <w:t>30</w:t>
    </w:r>
    <w:r w:rsidR="00BD7D22">
      <w:t>, 2024</w:t>
    </w:r>
    <w:r w:rsidRPr="00731A5A">
      <w:t xml:space="preserve"> -</w:t>
    </w:r>
    <w:r>
      <w:t xml:space="preserve"> </w:t>
    </w:r>
    <w:r w:rsidRPr="00731A5A">
      <w:t xml:space="preserve">Page </w:t>
    </w:r>
    <w:sdt>
      <w:sdtPr>
        <w:id w:val="1283924505"/>
        <w:docPartObj>
          <w:docPartGallery w:val="Page Numbers (Top of Page)"/>
          <w:docPartUnique/>
        </w:docPartObj>
      </w:sdtPr>
      <w:sdtContent>
        <w:sdt>
          <w:sdtPr>
            <w:id w:val="-226460965"/>
            <w:docPartObj>
              <w:docPartGallery w:val="Page Numbers (Top of Page)"/>
              <w:docPartUnique/>
            </w:docPartObj>
          </w:sdtPr>
          <w:sdtContent>
            <w:sdt>
              <w:sdtPr>
                <w:id w:val="1299956536"/>
                <w:docPartObj>
                  <w:docPartGallery w:val="Page Numbers (Top of Page)"/>
                  <w:docPartUnique/>
                </w:docPartObj>
              </w:sdtPr>
              <w:sdtContent>
                <w:r w:rsidR="00D32738" w:rsidRPr="00731A5A">
                  <w:fldChar w:fldCharType="begin"/>
                </w:r>
                <w:r w:rsidR="00D32738" w:rsidRPr="00731A5A">
                  <w:instrText xml:space="preserve"> PAGE   \* MERGEFORMAT </w:instrText>
                </w:r>
                <w:r w:rsidR="00D32738" w:rsidRPr="00731A5A">
                  <w:fldChar w:fldCharType="separate"/>
                </w:r>
                <w:r w:rsidR="00D32738">
                  <w:t>3</w:t>
                </w:r>
                <w:r w:rsidR="00D32738" w:rsidRPr="00731A5A">
                  <w:fldChar w:fldCharType="end"/>
                </w:r>
              </w:sdtContent>
            </w:sdt>
          </w:sdtContent>
        </w:sdt>
      </w:sdtContent>
    </w:sdt>
  </w:p>
  <w:p w14:paraId="22F2F0E3" w14:textId="66C9E9F8" w:rsidR="005270F3" w:rsidRDefault="005270F3">
    <w:pPr>
      <w:pStyle w:val="Header"/>
      <w:tabs>
        <w:tab w:val="left" w:pos="6570"/>
      </w:tabs>
      <w:ind w:right="36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A6FF" w14:textId="315C286C" w:rsidR="00D37DBC" w:rsidRPr="00E8601D" w:rsidRDefault="00512E34" w:rsidP="00E8601D">
    <w:pPr>
      <w:pStyle w:val="Header"/>
    </w:pPr>
    <w:r w:rsidRPr="00731A5A">
      <w:t>R202</w:t>
    </w:r>
    <w:r>
      <w:t>3</w:t>
    </w:r>
    <w:r w:rsidRPr="00731A5A">
      <w:t>-0</w:t>
    </w:r>
    <w:r w:rsidR="005270F3">
      <w:t>1</w:t>
    </w:r>
    <w:r w:rsidRPr="00731A5A">
      <w:tab/>
    </w:r>
    <w:r w:rsidRPr="00731A5A">
      <w:tab/>
    </w:r>
    <w:r>
      <w:t>June 05, 2023</w:t>
    </w:r>
    <w:r w:rsidRPr="00731A5A">
      <w:t xml:space="preserve"> -</w:t>
    </w:r>
    <w:r>
      <w:t xml:space="preserve"> </w:t>
    </w:r>
    <w:r w:rsidRPr="00731A5A">
      <w:t xml:space="preserve">Page </w:t>
    </w:r>
    <w:sdt>
      <w:sdtPr>
        <w:id w:val="1392998681"/>
        <w:docPartObj>
          <w:docPartGallery w:val="Page Numbers (Top of Page)"/>
          <w:docPartUnique/>
        </w:docPartObj>
      </w:sdtPr>
      <w:sdtContent>
        <w:r w:rsidR="005270F3">
          <w:t>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FFFFFFFF">
      <w:start w:val="1"/>
      <w:numFmt w:val="bullet"/>
      <w:lvlText w:val=""/>
      <w:lvlJc w:val="left"/>
      <w:pPr>
        <w:ind w:left="0" w:hanging="360"/>
      </w:pPr>
      <w:rPr>
        <w:rFonts w:ascii="Symbol" w:hAnsi="Symbol"/>
        <w:b w:val="0"/>
        <w:i w:val="0"/>
        <w:strike w:val="0"/>
        <w:color w:val="000000"/>
        <w:sz w:val="24"/>
        <w:u w:val="none" w:color="000000"/>
      </w:rPr>
    </w:lvl>
    <w:lvl w:ilvl="1" w:tplc="FFFFFFFF">
      <w:start w:val="1"/>
      <w:numFmt w:val="bullet"/>
      <w:lvlText w:val="o"/>
      <w:lvlJc w:val="left"/>
      <w:pPr>
        <w:ind w:left="360" w:hanging="360"/>
      </w:pPr>
      <w:rPr>
        <w:rFonts w:ascii="Courier New" w:hAnsi="Courier New"/>
        <w:b w:val="0"/>
        <w:i w:val="0"/>
        <w:strike w:val="0"/>
        <w:color w:val="000000"/>
        <w:sz w:val="24"/>
        <w:u w:val="none" w:color="000000"/>
      </w:rPr>
    </w:lvl>
    <w:lvl w:ilvl="2" w:tplc="FFFFFFFF">
      <w:start w:val="1"/>
      <w:numFmt w:val="bullet"/>
      <w:lvlText w:val=""/>
      <w:lvlJc w:val="left"/>
      <w:pPr>
        <w:ind w:left="720" w:hanging="360"/>
      </w:pPr>
      <w:rPr>
        <w:rFonts w:ascii="Wingdings" w:hAnsi="Wingdings"/>
        <w:b w:val="0"/>
        <w:i w:val="0"/>
        <w:strike w:val="0"/>
        <w:color w:val="000000"/>
        <w:sz w:val="24"/>
        <w:u w:val="none" w:color="000000"/>
      </w:rPr>
    </w:lvl>
    <w:lvl w:ilvl="3" w:tplc="FFFFFFFF">
      <w:start w:val="1"/>
      <w:numFmt w:val="bullet"/>
      <w:lvlText w:val=""/>
      <w:lvlJc w:val="left"/>
      <w:pPr>
        <w:ind w:left="1080" w:hanging="360"/>
      </w:pPr>
      <w:rPr>
        <w:rFonts w:ascii="Symbol" w:hAnsi="Symbol"/>
        <w:b w:val="0"/>
        <w:i w:val="0"/>
        <w:strike w:val="0"/>
        <w:color w:val="000000"/>
        <w:sz w:val="24"/>
        <w:u w:val="none" w:color="000000"/>
      </w:rPr>
    </w:lvl>
    <w:lvl w:ilvl="4" w:tplc="FFFFFFFF">
      <w:start w:val="1"/>
      <w:numFmt w:val="bullet"/>
      <w:lvlText w:val="o"/>
      <w:lvlJc w:val="left"/>
      <w:pPr>
        <w:ind w:left="1440" w:hanging="360"/>
      </w:pPr>
      <w:rPr>
        <w:rFonts w:ascii="Courier New" w:hAnsi="Courier New"/>
        <w:b w:val="0"/>
        <w:i w:val="0"/>
        <w:strike w:val="0"/>
        <w:color w:val="000000"/>
        <w:sz w:val="24"/>
        <w:u w:val="none" w:color="000000"/>
      </w:rPr>
    </w:lvl>
    <w:lvl w:ilvl="5" w:tplc="FFFFFFFF">
      <w:start w:val="1"/>
      <w:numFmt w:val="bullet"/>
      <w:lvlText w:val=""/>
      <w:lvlJc w:val="left"/>
      <w:pPr>
        <w:ind w:left="1800" w:hanging="360"/>
      </w:pPr>
      <w:rPr>
        <w:rFonts w:ascii="Wingdings" w:hAnsi="Wingdings"/>
        <w:b w:val="0"/>
        <w:i w:val="0"/>
        <w:strike w:val="0"/>
        <w:color w:val="000000"/>
        <w:sz w:val="24"/>
        <w:u w:val="none" w:color="000000"/>
      </w:rPr>
    </w:lvl>
    <w:lvl w:ilvl="6" w:tplc="FFFFFFFF">
      <w:start w:val="1"/>
      <w:numFmt w:val="bullet"/>
      <w:lvlText w:val=""/>
      <w:lvlJc w:val="left"/>
      <w:pPr>
        <w:ind w:left="2160" w:hanging="360"/>
      </w:pPr>
      <w:rPr>
        <w:rFonts w:ascii="Symbol" w:hAnsi="Symbol"/>
        <w:b w:val="0"/>
        <w:i w:val="0"/>
        <w:strike w:val="0"/>
        <w:color w:val="000000"/>
        <w:sz w:val="24"/>
        <w:u w:val="none" w:color="000000"/>
      </w:rPr>
    </w:lvl>
    <w:lvl w:ilvl="7" w:tplc="FFFFFFFF">
      <w:start w:val="1"/>
      <w:numFmt w:val="bullet"/>
      <w:lvlText w:val="o"/>
      <w:lvlJc w:val="left"/>
      <w:pPr>
        <w:ind w:left="2520" w:hanging="360"/>
      </w:pPr>
      <w:rPr>
        <w:rFonts w:ascii="Courier New" w:hAnsi="Courier New"/>
        <w:b w:val="0"/>
        <w:i w:val="0"/>
        <w:strike w:val="0"/>
        <w:color w:val="000000"/>
        <w:sz w:val="24"/>
        <w:u w:val="none" w:color="000000"/>
      </w:rPr>
    </w:lvl>
    <w:lvl w:ilvl="8" w:tplc="FFFFFFFF">
      <w:start w:val="1"/>
      <w:numFmt w:val="bullet"/>
      <w:lvlText w:val=""/>
      <w:lvlJc w:val="left"/>
      <w:pPr>
        <w:ind w:left="2880" w:hanging="360"/>
      </w:pPr>
      <w:rPr>
        <w:rFonts w:ascii="Wingdings" w:hAnsi="Wingdings"/>
        <w:b w:val="0"/>
        <w:i w:val="0"/>
        <w:strike w:val="0"/>
        <w:color w:val="000000"/>
        <w:sz w:val="24"/>
        <w:u w:val="none" w:color="000000"/>
      </w:rPr>
    </w:lvl>
  </w:abstractNum>
  <w:abstractNum w:abstractNumId="1" w15:restartNumberingAfterBreak="0">
    <w:nsid w:val="06F357B7"/>
    <w:multiLevelType w:val="hybridMultilevel"/>
    <w:tmpl w:val="21FC26C4"/>
    <w:lvl w:ilvl="0" w:tplc="115A0648">
      <w:start w:val="1"/>
      <w:numFmt w:val="decimal"/>
      <w:lvlText w:val="%1."/>
      <w:lvlJc w:val="left"/>
      <w:pPr>
        <w:tabs>
          <w:tab w:val="num" w:pos="1800"/>
        </w:tabs>
        <w:ind w:left="1800" w:hanging="360"/>
      </w:pPr>
      <w:rPr>
        <w:rFonts w:hint="default"/>
        <w:u w:val="none"/>
      </w:rPr>
    </w:lvl>
    <w:lvl w:ilvl="1" w:tplc="197E61CA">
      <w:start w:val="1"/>
      <w:numFmt w:val="bullet"/>
      <w:lvlText w:val=""/>
      <w:lvlJc w:val="left"/>
      <w:pPr>
        <w:tabs>
          <w:tab w:val="num" w:pos="2520"/>
        </w:tabs>
        <w:ind w:left="2520" w:hanging="360"/>
      </w:pPr>
      <w:rPr>
        <w:rFonts w:ascii="Symbol" w:eastAsia="Times New Roman" w:hAnsi="Symbol" w:cs="Times New Roman" w:hint="default"/>
      </w:rPr>
    </w:lvl>
    <w:lvl w:ilvl="2" w:tplc="73D07304">
      <w:start w:val="1"/>
      <w:numFmt w:val="upperLetter"/>
      <w:lvlText w:val="%3."/>
      <w:lvlJc w:val="left"/>
      <w:pPr>
        <w:tabs>
          <w:tab w:val="num" w:pos="360"/>
        </w:tabs>
        <w:ind w:left="360" w:hanging="360"/>
      </w:pPr>
      <w:rPr>
        <w:rFonts w:hint="default"/>
        <w:b/>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CC771E8"/>
    <w:multiLevelType w:val="hybridMultilevel"/>
    <w:tmpl w:val="B7908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32990"/>
    <w:multiLevelType w:val="hybridMultilevel"/>
    <w:tmpl w:val="464082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DF1E57"/>
    <w:multiLevelType w:val="hybridMultilevel"/>
    <w:tmpl w:val="3196D1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456199"/>
    <w:multiLevelType w:val="hybridMultilevel"/>
    <w:tmpl w:val="E77E6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C0D05"/>
    <w:multiLevelType w:val="hybridMultilevel"/>
    <w:tmpl w:val="57B2CCC0"/>
    <w:lvl w:ilvl="0" w:tplc="461E7AB0">
      <w:start w:val="1"/>
      <w:numFmt w:val="upperRoman"/>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055188"/>
    <w:multiLevelType w:val="hybridMultilevel"/>
    <w:tmpl w:val="0EC04C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A639BA"/>
    <w:multiLevelType w:val="hybridMultilevel"/>
    <w:tmpl w:val="A9C8D4F2"/>
    <w:lvl w:ilvl="0" w:tplc="FFFFFFFF">
      <w:start w:val="1"/>
      <w:numFmt w:val="upperLetter"/>
      <w:lvlText w:val="%1."/>
      <w:lvlJc w:val="left"/>
      <w:pPr>
        <w:tabs>
          <w:tab w:val="num" w:pos="720"/>
        </w:tabs>
        <w:ind w:left="720" w:hanging="72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875059"/>
    <w:multiLevelType w:val="hybridMultilevel"/>
    <w:tmpl w:val="3EC2F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4F5C1F"/>
    <w:multiLevelType w:val="hybridMultilevel"/>
    <w:tmpl w:val="E922788E"/>
    <w:lvl w:ilvl="0" w:tplc="B3123108">
      <w:start w:val="1"/>
      <w:numFmt w:val="upperRoman"/>
      <w:lvlText w:val="%1."/>
      <w:lvlJc w:val="left"/>
      <w:pPr>
        <w:tabs>
          <w:tab w:val="num" w:pos="720"/>
        </w:tabs>
        <w:ind w:left="720" w:hanging="720"/>
      </w:pPr>
      <w:rPr>
        <w:rFonts w:hint="default"/>
      </w:rPr>
    </w:lvl>
    <w:lvl w:ilvl="1" w:tplc="25987DAE">
      <w:start w:val="1"/>
      <w:numFmt w:val="upperLetter"/>
      <w:lvlText w:val="%2."/>
      <w:lvlJc w:val="left"/>
      <w:pPr>
        <w:tabs>
          <w:tab w:val="num" w:pos="720"/>
        </w:tabs>
        <w:ind w:left="720" w:hanging="72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F534506C">
      <w:start w:val="1"/>
      <w:numFmt w:val="lowerLetter"/>
      <w:lvlText w:val="%5)"/>
      <w:lvlJc w:val="left"/>
      <w:pPr>
        <w:ind w:left="360" w:hanging="360"/>
      </w:pPr>
      <w:rPr>
        <w:rFonts w:hint="default"/>
        <w:b w:val="0"/>
      </w:rPr>
    </w:lvl>
    <w:lvl w:ilvl="5" w:tplc="8668AD46">
      <w:start w:val="1"/>
      <w:numFmt w:val="decimal"/>
      <w:lvlText w:val="%6)"/>
      <w:lvlJc w:val="left"/>
      <w:pPr>
        <w:ind w:left="720" w:hanging="360"/>
      </w:pPr>
      <w:rPr>
        <w:rFonts w:eastAsia="Times New Roman" w:hint="default"/>
        <w:color w:val="auto"/>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F457E45"/>
    <w:multiLevelType w:val="hybridMultilevel"/>
    <w:tmpl w:val="D9BA54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BC022B"/>
    <w:multiLevelType w:val="hybridMultilevel"/>
    <w:tmpl w:val="A9C8D4F2"/>
    <w:lvl w:ilvl="0" w:tplc="32C86C22">
      <w:start w:val="1"/>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620C9"/>
    <w:multiLevelType w:val="hybridMultilevel"/>
    <w:tmpl w:val="F1525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F33972"/>
    <w:multiLevelType w:val="hybridMultilevel"/>
    <w:tmpl w:val="16A62FBE"/>
    <w:lvl w:ilvl="0" w:tplc="4DD430A8">
      <w:start w:val="2"/>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8B42001"/>
    <w:multiLevelType w:val="hybridMultilevel"/>
    <w:tmpl w:val="320ED3FA"/>
    <w:lvl w:ilvl="0" w:tplc="F10258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C319E3"/>
    <w:multiLevelType w:val="hybridMultilevel"/>
    <w:tmpl w:val="C1902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367F8D"/>
    <w:multiLevelType w:val="hybridMultilevel"/>
    <w:tmpl w:val="17906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7073964">
    <w:abstractNumId w:val="6"/>
  </w:num>
  <w:num w:numId="2" w16cid:durableId="678849058">
    <w:abstractNumId w:val="1"/>
  </w:num>
  <w:num w:numId="3" w16cid:durableId="1225261986">
    <w:abstractNumId w:val="14"/>
  </w:num>
  <w:num w:numId="4" w16cid:durableId="1564684188">
    <w:abstractNumId w:val="4"/>
  </w:num>
  <w:num w:numId="5" w16cid:durableId="1370451366">
    <w:abstractNumId w:val="0"/>
  </w:num>
  <w:num w:numId="6" w16cid:durableId="2044741162">
    <w:abstractNumId w:val="9"/>
  </w:num>
  <w:num w:numId="7" w16cid:durableId="754133738">
    <w:abstractNumId w:val="16"/>
  </w:num>
  <w:num w:numId="8" w16cid:durableId="489829394">
    <w:abstractNumId w:val="12"/>
  </w:num>
  <w:num w:numId="9" w16cid:durableId="1362515207">
    <w:abstractNumId w:val="8"/>
  </w:num>
  <w:num w:numId="10" w16cid:durableId="1563560523">
    <w:abstractNumId w:val="13"/>
  </w:num>
  <w:num w:numId="11" w16cid:durableId="27729974">
    <w:abstractNumId w:val="2"/>
  </w:num>
  <w:num w:numId="12" w16cid:durableId="1979648673">
    <w:abstractNumId w:val="5"/>
  </w:num>
  <w:num w:numId="13" w16cid:durableId="2108379762">
    <w:abstractNumId w:val="7"/>
  </w:num>
  <w:num w:numId="14" w16cid:durableId="760881390">
    <w:abstractNumId w:val="10"/>
  </w:num>
  <w:num w:numId="15" w16cid:durableId="1569802274">
    <w:abstractNumId w:val="15"/>
  </w:num>
  <w:num w:numId="16" w16cid:durableId="1156801231">
    <w:abstractNumId w:val="17"/>
  </w:num>
  <w:num w:numId="17" w16cid:durableId="2025083729">
    <w:abstractNumId w:val="11"/>
  </w:num>
  <w:num w:numId="18" w16cid:durableId="1409620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MWKCOmGdQKOVKcRC8wblcQcCnBrcGc1jxTTMdqsYY5o5GEZVBHOWfjj0kJFzbHLxXyW0vSzq7F2H4G1Un8a0g==" w:salt="focKZTOoSwkBvA+JcChFy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6D"/>
    <w:rsid w:val="00010B06"/>
    <w:rsid w:val="00024687"/>
    <w:rsid w:val="00040CF7"/>
    <w:rsid w:val="00041579"/>
    <w:rsid w:val="00056254"/>
    <w:rsid w:val="00076B28"/>
    <w:rsid w:val="0008542C"/>
    <w:rsid w:val="00087A21"/>
    <w:rsid w:val="000933A0"/>
    <w:rsid w:val="00094437"/>
    <w:rsid w:val="000C6616"/>
    <w:rsid w:val="000D3CE2"/>
    <w:rsid w:val="000D68CA"/>
    <w:rsid w:val="000E5357"/>
    <w:rsid w:val="000E6741"/>
    <w:rsid w:val="000F7A73"/>
    <w:rsid w:val="00104C73"/>
    <w:rsid w:val="001100DB"/>
    <w:rsid w:val="001330B2"/>
    <w:rsid w:val="00133A5D"/>
    <w:rsid w:val="00137CB8"/>
    <w:rsid w:val="00145202"/>
    <w:rsid w:val="00145B10"/>
    <w:rsid w:val="00163294"/>
    <w:rsid w:val="00180577"/>
    <w:rsid w:val="001A19A8"/>
    <w:rsid w:val="001A2623"/>
    <w:rsid w:val="001B0F64"/>
    <w:rsid w:val="001D4E45"/>
    <w:rsid w:val="001D6FF9"/>
    <w:rsid w:val="001E464C"/>
    <w:rsid w:val="0020204D"/>
    <w:rsid w:val="002113F4"/>
    <w:rsid w:val="00292F7E"/>
    <w:rsid w:val="002A09AA"/>
    <w:rsid w:val="002A29D1"/>
    <w:rsid w:val="00323E82"/>
    <w:rsid w:val="0033324F"/>
    <w:rsid w:val="003467B4"/>
    <w:rsid w:val="00347F8F"/>
    <w:rsid w:val="00387440"/>
    <w:rsid w:val="00390DDB"/>
    <w:rsid w:val="003C2D39"/>
    <w:rsid w:val="003D659C"/>
    <w:rsid w:val="003E2F3A"/>
    <w:rsid w:val="003E42B9"/>
    <w:rsid w:val="003E5E2C"/>
    <w:rsid w:val="003F3C1F"/>
    <w:rsid w:val="003F6A22"/>
    <w:rsid w:val="004139D5"/>
    <w:rsid w:val="00416FCC"/>
    <w:rsid w:val="0044553A"/>
    <w:rsid w:val="00453B5E"/>
    <w:rsid w:val="004700F8"/>
    <w:rsid w:val="004C0483"/>
    <w:rsid w:val="005015B6"/>
    <w:rsid w:val="00512E34"/>
    <w:rsid w:val="00513BE4"/>
    <w:rsid w:val="00515A71"/>
    <w:rsid w:val="005203D0"/>
    <w:rsid w:val="00523584"/>
    <w:rsid w:val="005270F3"/>
    <w:rsid w:val="00535B6A"/>
    <w:rsid w:val="0055407B"/>
    <w:rsid w:val="0056724B"/>
    <w:rsid w:val="005708DB"/>
    <w:rsid w:val="0058461B"/>
    <w:rsid w:val="00591204"/>
    <w:rsid w:val="00597A66"/>
    <w:rsid w:val="005A0033"/>
    <w:rsid w:val="005A6F46"/>
    <w:rsid w:val="005B222D"/>
    <w:rsid w:val="005C1CDD"/>
    <w:rsid w:val="005D0BC2"/>
    <w:rsid w:val="00606A8B"/>
    <w:rsid w:val="0061026B"/>
    <w:rsid w:val="0063572C"/>
    <w:rsid w:val="0064475F"/>
    <w:rsid w:val="00660EE0"/>
    <w:rsid w:val="006618B5"/>
    <w:rsid w:val="006B2A17"/>
    <w:rsid w:val="006C409C"/>
    <w:rsid w:val="006E4144"/>
    <w:rsid w:val="006F48B8"/>
    <w:rsid w:val="007310F7"/>
    <w:rsid w:val="007404AD"/>
    <w:rsid w:val="00744B11"/>
    <w:rsid w:val="00786737"/>
    <w:rsid w:val="007C3912"/>
    <w:rsid w:val="007D0371"/>
    <w:rsid w:val="0081539D"/>
    <w:rsid w:val="008357AC"/>
    <w:rsid w:val="008530B7"/>
    <w:rsid w:val="00853ADE"/>
    <w:rsid w:val="00874A61"/>
    <w:rsid w:val="00875E8A"/>
    <w:rsid w:val="0087730A"/>
    <w:rsid w:val="00880CD6"/>
    <w:rsid w:val="008813C9"/>
    <w:rsid w:val="0089105E"/>
    <w:rsid w:val="008A08EA"/>
    <w:rsid w:val="008A596D"/>
    <w:rsid w:val="008B4DA6"/>
    <w:rsid w:val="00901888"/>
    <w:rsid w:val="009060CB"/>
    <w:rsid w:val="00910F44"/>
    <w:rsid w:val="00932CB4"/>
    <w:rsid w:val="00934306"/>
    <w:rsid w:val="00960774"/>
    <w:rsid w:val="00964484"/>
    <w:rsid w:val="00990BB0"/>
    <w:rsid w:val="009A4C85"/>
    <w:rsid w:val="009A66C3"/>
    <w:rsid w:val="009B1687"/>
    <w:rsid w:val="009B332A"/>
    <w:rsid w:val="009C261D"/>
    <w:rsid w:val="009C73AD"/>
    <w:rsid w:val="00A069DD"/>
    <w:rsid w:val="00A328F1"/>
    <w:rsid w:val="00A45C1A"/>
    <w:rsid w:val="00A8750E"/>
    <w:rsid w:val="00AB3741"/>
    <w:rsid w:val="00AC69C0"/>
    <w:rsid w:val="00AD1103"/>
    <w:rsid w:val="00AD24AF"/>
    <w:rsid w:val="00AE19C5"/>
    <w:rsid w:val="00AF1F43"/>
    <w:rsid w:val="00B024C8"/>
    <w:rsid w:val="00B05A88"/>
    <w:rsid w:val="00B12296"/>
    <w:rsid w:val="00B15694"/>
    <w:rsid w:val="00B16FD7"/>
    <w:rsid w:val="00B171F7"/>
    <w:rsid w:val="00B2217D"/>
    <w:rsid w:val="00B60D2F"/>
    <w:rsid w:val="00B6435F"/>
    <w:rsid w:val="00B86214"/>
    <w:rsid w:val="00B9557D"/>
    <w:rsid w:val="00BB540D"/>
    <w:rsid w:val="00BB6D94"/>
    <w:rsid w:val="00BD42C8"/>
    <w:rsid w:val="00BD7D22"/>
    <w:rsid w:val="00C15D1C"/>
    <w:rsid w:val="00C236EA"/>
    <w:rsid w:val="00C247FE"/>
    <w:rsid w:val="00C24C24"/>
    <w:rsid w:val="00C34E68"/>
    <w:rsid w:val="00C409D2"/>
    <w:rsid w:val="00C5266C"/>
    <w:rsid w:val="00C5285E"/>
    <w:rsid w:val="00C755D3"/>
    <w:rsid w:val="00C9751A"/>
    <w:rsid w:val="00CB10B7"/>
    <w:rsid w:val="00CE2F48"/>
    <w:rsid w:val="00CF2B54"/>
    <w:rsid w:val="00CF472D"/>
    <w:rsid w:val="00D012F4"/>
    <w:rsid w:val="00D06A71"/>
    <w:rsid w:val="00D14588"/>
    <w:rsid w:val="00D32738"/>
    <w:rsid w:val="00D33102"/>
    <w:rsid w:val="00D37DBC"/>
    <w:rsid w:val="00D470DC"/>
    <w:rsid w:val="00D51A5A"/>
    <w:rsid w:val="00D84541"/>
    <w:rsid w:val="00DA3753"/>
    <w:rsid w:val="00DA5FC5"/>
    <w:rsid w:val="00DB4538"/>
    <w:rsid w:val="00DC14E7"/>
    <w:rsid w:val="00DC558F"/>
    <w:rsid w:val="00DC59D1"/>
    <w:rsid w:val="00DD508D"/>
    <w:rsid w:val="00DF665F"/>
    <w:rsid w:val="00E113EE"/>
    <w:rsid w:val="00E34D05"/>
    <w:rsid w:val="00E42AF5"/>
    <w:rsid w:val="00E766A8"/>
    <w:rsid w:val="00E8319A"/>
    <w:rsid w:val="00EB7660"/>
    <w:rsid w:val="00EC22D8"/>
    <w:rsid w:val="00EF3343"/>
    <w:rsid w:val="00EF7706"/>
    <w:rsid w:val="00F12EA7"/>
    <w:rsid w:val="00F177D7"/>
    <w:rsid w:val="00F178FE"/>
    <w:rsid w:val="00F2608D"/>
    <w:rsid w:val="00F31674"/>
    <w:rsid w:val="00F61F9E"/>
    <w:rsid w:val="00F71924"/>
    <w:rsid w:val="00FB6743"/>
    <w:rsid w:val="00FD1E57"/>
    <w:rsid w:val="00FF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62CA63C"/>
  <w15:docId w15:val="{08BB91EC-0BF6-472F-9EC3-AB0D1BE6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7B4"/>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20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9"/>
    <w:qFormat/>
    <w:rsid w:val="003467B4"/>
    <w:pPr>
      <w:outlineLvl w:val="4"/>
    </w:pPr>
    <w:rPr>
      <w:rFonts w:ascii="FiraSans-Regular" w:eastAsia="Times New Roman" w:hAnsi="FiraSans-Regula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04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rsid w:val="0020204D"/>
    <w:pPr>
      <w:tabs>
        <w:tab w:val="center" w:pos="4320"/>
        <w:tab w:val="right" w:pos="8640"/>
      </w:tabs>
    </w:pPr>
    <w:rPr>
      <w:szCs w:val="20"/>
    </w:rPr>
  </w:style>
  <w:style w:type="character" w:customStyle="1" w:styleId="HeaderChar">
    <w:name w:val="Header Char"/>
    <w:basedOn w:val="DefaultParagraphFont"/>
    <w:link w:val="Header"/>
    <w:uiPriority w:val="99"/>
    <w:rsid w:val="0020204D"/>
    <w:rPr>
      <w:sz w:val="24"/>
    </w:rPr>
  </w:style>
  <w:style w:type="character" w:styleId="PageNumber">
    <w:name w:val="page number"/>
    <w:basedOn w:val="DefaultParagraphFont"/>
    <w:rsid w:val="0020204D"/>
  </w:style>
  <w:style w:type="paragraph" w:styleId="ListParagraph">
    <w:name w:val="List Paragraph"/>
    <w:basedOn w:val="Normal"/>
    <w:uiPriority w:val="34"/>
    <w:qFormat/>
    <w:rsid w:val="003467B4"/>
    <w:pPr>
      <w:ind w:left="720"/>
    </w:pPr>
  </w:style>
  <w:style w:type="paragraph" w:styleId="Footer">
    <w:name w:val="footer"/>
    <w:basedOn w:val="Normal"/>
    <w:link w:val="FooterChar"/>
    <w:unhideWhenUsed/>
    <w:rsid w:val="0064475F"/>
    <w:pPr>
      <w:tabs>
        <w:tab w:val="center" w:pos="4680"/>
        <w:tab w:val="right" w:pos="9360"/>
      </w:tabs>
    </w:pPr>
  </w:style>
  <w:style w:type="character" w:customStyle="1" w:styleId="FooterChar">
    <w:name w:val="Footer Char"/>
    <w:basedOn w:val="DefaultParagraphFont"/>
    <w:link w:val="Footer"/>
    <w:rsid w:val="0064475F"/>
    <w:rPr>
      <w:sz w:val="24"/>
      <w:szCs w:val="24"/>
    </w:rPr>
  </w:style>
  <w:style w:type="character" w:customStyle="1" w:styleId="Heading5Char">
    <w:name w:val="Heading 5 Char"/>
    <w:basedOn w:val="DefaultParagraphFont"/>
    <w:link w:val="Heading5"/>
    <w:uiPriority w:val="9"/>
    <w:rsid w:val="003467B4"/>
    <w:rPr>
      <w:rFonts w:ascii="FiraSans-Regular" w:eastAsia="Times New Roman" w:hAnsi="FiraSans-Regular" w:cs="Times New Roman"/>
      <w:sz w:val="20"/>
      <w:szCs w:val="20"/>
    </w:rPr>
  </w:style>
  <w:style w:type="character" w:styleId="Strong">
    <w:name w:val="Strong"/>
    <w:uiPriority w:val="22"/>
    <w:qFormat/>
    <w:rsid w:val="003467B4"/>
    <w:rPr>
      <w:b/>
      <w:bCs/>
    </w:rPr>
  </w:style>
  <w:style w:type="character" w:styleId="Emphasis">
    <w:name w:val="Emphasis"/>
    <w:basedOn w:val="DefaultParagraphFont"/>
    <w:uiPriority w:val="20"/>
    <w:qFormat/>
    <w:rsid w:val="003467B4"/>
    <w:rPr>
      <w:i/>
      <w:iCs/>
    </w:rPr>
  </w:style>
  <w:style w:type="character" w:styleId="IntenseEmphasis">
    <w:name w:val="Intense Emphasis"/>
    <w:uiPriority w:val="21"/>
    <w:qFormat/>
    <w:rsid w:val="003467B4"/>
    <w:rPr>
      <w:b/>
      <w:bCs/>
      <w:i/>
      <w:iCs/>
      <w:color w:val="4F81BD"/>
    </w:rPr>
  </w:style>
  <w:style w:type="paragraph" w:styleId="BalloonText">
    <w:name w:val="Balloon Text"/>
    <w:basedOn w:val="Normal"/>
    <w:link w:val="BalloonTextChar"/>
    <w:semiHidden/>
    <w:unhideWhenUsed/>
    <w:rsid w:val="00C409D2"/>
    <w:rPr>
      <w:rFonts w:ascii="Segoe UI" w:hAnsi="Segoe UI" w:cs="Segoe UI"/>
      <w:sz w:val="18"/>
      <w:szCs w:val="18"/>
    </w:rPr>
  </w:style>
  <w:style w:type="character" w:customStyle="1" w:styleId="BalloonTextChar">
    <w:name w:val="Balloon Text Char"/>
    <w:basedOn w:val="DefaultParagraphFont"/>
    <w:link w:val="BalloonText"/>
    <w:semiHidden/>
    <w:rsid w:val="00C409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b14d86-3bfe-48ef-9217-28365e19d64c" xsi:nil="true"/>
    <lcf76f155ced4ddcb4097134ff3c332f xmlns="840351d0-6f74-4966-b45b-820ab32bd7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11307EAE8E364BA9668E7086CA7CFB" ma:contentTypeVersion="16" ma:contentTypeDescription="Create a new document." ma:contentTypeScope="" ma:versionID="42ff360a8d3c7468c216ad73e2113825">
  <xsd:schema xmlns:xsd="http://www.w3.org/2001/XMLSchema" xmlns:xs="http://www.w3.org/2001/XMLSchema" xmlns:p="http://schemas.microsoft.com/office/2006/metadata/properties" xmlns:ns2="840351d0-6f74-4966-b45b-820ab32bd706" xmlns:ns3="82b14d86-3bfe-48ef-9217-28365e19d64c" targetNamespace="http://schemas.microsoft.com/office/2006/metadata/properties" ma:root="true" ma:fieldsID="5c42124902e805ea93be7f4601ea0395" ns2:_="" ns3:_="">
    <xsd:import namespace="840351d0-6f74-4966-b45b-820ab32bd706"/>
    <xsd:import namespace="82b14d86-3bfe-48ef-9217-28365e19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51d0-6f74-4966-b45b-820ab32bd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14d86-3bfe-48ef-9217-28365e19d6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422eef-2340-4663-a290-54e28e527488}" ma:internalName="TaxCatchAll" ma:showField="CatchAllData" ma:web="82b14d86-3bfe-48ef-9217-28365e19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105AD-C280-4FBE-BB96-89C830F606E2}">
  <ds:schemaRefs>
    <ds:schemaRef ds:uri="http://schemas.microsoft.com/office/2006/metadata/properties"/>
    <ds:schemaRef ds:uri="http://schemas.microsoft.com/office/infopath/2007/PartnerControls"/>
    <ds:schemaRef ds:uri="82b14d86-3bfe-48ef-9217-28365e19d64c"/>
    <ds:schemaRef ds:uri="840351d0-6f74-4966-b45b-820ab32bd706"/>
  </ds:schemaRefs>
</ds:datastoreItem>
</file>

<file path=customXml/itemProps2.xml><?xml version="1.0" encoding="utf-8"?>
<ds:datastoreItem xmlns:ds="http://schemas.openxmlformats.org/officeDocument/2006/customXml" ds:itemID="{3D810DAB-BD74-4D5A-ADFB-E37DD26D8F1A}">
  <ds:schemaRefs>
    <ds:schemaRef ds:uri="http://schemas.openxmlformats.org/officeDocument/2006/bibliography"/>
  </ds:schemaRefs>
</ds:datastoreItem>
</file>

<file path=customXml/itemProps3.xml><?xml version="1.0" encoding="utf-8"?>
<ds:datastoreItem xmlns:ds="http://schemas.openxmlformats.org/officeDocument/2006/customXml" ds:itemID="{0DFE585C-F1F8-4F28-BDF5-380C4A673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51d0-6f74-4966-b45b-820ab32bd706"/>
    <ds:schemaRef ds:uri="82b14d86-3bfe-48ef-9217-28365e19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7D993-C3B9-47B0-A3D7-A6CE7B9E9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1801</Words>
  <Characters>10269</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Todd C Kucker</cp:lastModifiedBy>
  <cp:revision>2</cp:revision>
  <cp:lastPrinted>2023-10-19T17:52:00Z</cp:lastPrinted>
  <dcterms:created xsi:type="dcterms:W3CDTF">2024-01-31T22:44:00Z</dcterms:created>
  <dcterms:modified xsi:type="dcterms:W3CDTF">2024-01-31T22:44:00Z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y fmtid="{D5CDD505-2E9C-101B-9397-08002B2CF9AE}" pid="3" name="ContentTypeId">
    <vt:lpwstr>0x0101001011307EAE8E364BA9668E7086CA7CFB</vt:lpwstr>
  </property>
  <property fmtid="{D5CDD505-2E9C-101B-9397-08002B2CF9AE}" pid="4" name="MediaServiceImageTags">
    <vt:lpwstr/>
  </property>
</Properties>
</file>